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号）及省上相关规定，本会对四川康伦律师事务所提交的《四川康伦律师事务所律师服务收费标准》已审查完毕，相关内容符合相关规定，本会同意备案人的备案申请，该收费标准自备案之日起至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w:t>
      </w:r>
      <w:r>
        <w:rPr>
          <w:rFonts w:hint="eastAsia" w:ascii="Times New Roman" w:hAnsi="Times New Roman" w:eastAsia="仿宋" w:cs="Times New Roman"/>
          <w:sz w:val="32"/>
          <w:szCs w:val="32"/>
        </w:rPr>
        <w:t>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四川康伦律师事务所律师服务收费标准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Autospacing="0" w:afterAutospacing="0" w:line="50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律师办理委托事项过程中发生的诉讼费、仲裁费、鉴定费、公证费、异地办案差旅费、专家论证费等费用，以及律师事务所代委托人支付的其他费用，由委托人另行支付。</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Autospacing="0" w:afterAutospacing="0" w:line="50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Autospacing="0" w:afterAutospacing="0" w:line="50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0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00" w:lineRule="exact"/>
        <w:ind w:firstLine="643" w:firstLineChars="200"/>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（三）企业合规体系建设、专项事务法律顾问、法律风险评估或论证、合法性审查、法律意见书、尽职调查、法律培训等，不涉及财产的，可按件收费，每件</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对于上述按件收费情形，可根据案件情况、复杂程度，合理上浮。</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1000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0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万元范围内收取律师服务费，可根据案件情况，合理上浮。</w:t>
      </w:r>
    </w:p>
    <w:p>
      <w:pPr>
        <w:pStyle w:val="6"/>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4%-6%</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3%-5%</w:t>
      </w:r>
      <w:r>
        <w:rPr>
          <w:rFonts w:ascii="Times New Roman" w:hAnsi="仿宋" w:eastAsia="仿宋" w:cs="Times New Roman"/>
          <w:sz w:val="32"/>
          <w:szCs w:val="32"/>
        </w:rPr>
        <w:t>；</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2%-4%;</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20%</w:t>
      </w:r>
      <w:r>
        <w:rPr>
          <w:rFonts w:ascii="Times New Roman" w:hAnsi="仿宋" w:eastAsia="仿宋" w:cs="Times New Roman"/>
          <w:sz w:val="32"/>
          <w:szCs w:val="32"/>
        </w:rPr>
        <w:t>的优惠。同时代理本诉、本请求和反诉、反请求案件的，反诉、反请求按标的额以民事诉讼案件一审阶段的收费标准给予不超过</w:t>
      </w:r>
      <w:r>
        <w:rPr>
          <w:rFonts w:ascii="Times New Roman" w:hAnsi="Times New Roman" w:eastAsia="仿宋" w:cs="Times New Roman"/>
          <w:sz w:val="32"/>
          <w:szCs w:val="32"/>
        </w:rPr>
        <w:t>20%</w:t>
      </w:r>
      <w:r>
        <w:rPr>
          <w:rFonts w:ascii="Times New Roman" w:hAnsi="仿宋" w:eastAsia="仿宋" w:cs="Times New Roman"/>
          <w:sz w:val="32"/>
          <w:szCs w:val="32"/>
        </w:rPr>
        <w:t>的优惠。</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9%-18%</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5%-12%</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3%-9%</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2%-6%</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Autospacing="0" w:afterAutospacing="0" w:line="50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0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阶段、再审阶段，收费标准采取按一人一罪名执行。</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万元；上述阶段同时由本所律师代理的，可给予优惠；</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6-30</w:t>
      </w:r>
      <w:r>
        <w:rPr>
          <w:rFonts w:ascii="Times New Roman" w:hAnsi="仿宋" w:eastAsia="仿宋" w:cs="Times New Roman"/>
          <w:sz w:val="32"/>
          <w:szCs w:val="32"/>
        </w:rPr>
        <w:t>万元收取，如上述案件经重审、申诉、再审，又涉及一审、二审阶段及其他阶段的，则每个阶段另行按照本条对应的费用加收；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、案件涉及有财产及其他标的，参照本标准第二章第二节的规定执行。</w:t>
      </w:r>
    </w:p>
    <w:p>
      <w:pPr>
        <w:spacing w:line="58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不能采取或变相采取风险代理收费的，参照本标准第二章第二节的规定执行。</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w:t>
      </w:r>
      <w:r>
        <w:rPr>
          <w:rFonts w:ascii="Times New Roman" w:hAnsi="仿宋" w:eastAsia="仿宋" w:cs="Times New Roman"/>
          <w:sz w:val="32"/>
          <w:szCs w:val="32"/>
        </w:rPr>
        <w:t>万元元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0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选择计时收费的案件，如涉及涉外（含港、澳、台）案件及重大、疑难、复杂及律师工作量大的民事诉讼、仲裁案件，可以按计时收费标准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w:t>
      </w:r>
      <w:r>
        <w:rPr>
          <w:rFonts w:ascii="Times New Roman" w:hAnsi="仿宋" w:eastAsia="仿宋" w:cs="Times New Roman"/>
          <w:sz w:val="32"/>
          <w:szCs w:val="32"/>
        </w:rPr>
        <w:t>倍执行。经委托人同意，也可以由本所参照外国或港、澳、台地区律师事务所驻我国代表机构办理同类法律事务的收费标准，与委托人协商确定收费数额。</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办理职务犯罪、异地、重大、疑难、复杂、社会影响较大的刑事诉讼案件，可以在本收费标准中刑事收费标准基础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widowControl/>
        <w:spacing w:line="50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0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0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全体律师除前述第三十条、第三十一条涉及案件外，其他案件收费应严格按本收费标准执行，不得以争揽业务为目的，通过减收或免收律师服务费吸引委托人，进行低价的不正当竞争。</w:t>
      </w:r>
    </w:p>
    <w:p>
      <w:pPr>
        <w:widowControl/>
        <w:spacing w:line="500" w:lineRule="exact"/>
        <w:ind w:firstLine="640" w:firstLineChars="200"/>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0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第三十三条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本收费标准应当按照相关规定予以备案，并在所内公示，律师事务所全体律师严格遵照执行，并接受社会监督。</w:t>
      </w:r>
    </w:p>
    <w:p>
      <w:pPr>
        <w:widowControl/>
        <w:spacing w:line="50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第三十四条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w:t>
      </w:r>
      <w:r>
        <w:rPr>
          <w:rFonts w:hint="eastAsia" w:ascii="Times New Roman" w:hAnsi="Times New Roman" w:eastAsia="仿宋" w:cs="Times New Roman"/>
          <w:sz w:val="32"/>
          <w:szCs w:val="32"/>
        </w:rPr>
        <w:t>4</w:t>
      </w:r>
      <w:r>
        <w:rPr>
          <w:rFonts w:ascii="Times New Roman" w:hAnsi="仿宋" w:eastAsia="仿宋" w:cs="Times New Roman"/>
          <w:sz w:val="32"/>
          <w:szCs w:val="32"/>
        </w:rPr>
        <w:t>年</w:t>
      </w:r>
      <w:r>
        <w:rPr>
          <w:rFonts w:hint="eastAsia" w:ascii="Times New Roman" w:hAnsi="Times New Roman" w:eastAsia="仿宋" w:cs="Times New Roman"/>
          <w:sz w:val="32"/>
          <w:szCs w:val="32"/>
        </w:rPr>
        <w:t>4</w:t>
      </w:r>
      <w:r>
        <w:rPr>
          <w:rFonts w:ascii="Times New Roman" w:hAnsi="仿宋" w:eastAsia="仿宋" w:cs="Times New Roman"/>
          <w:sz w:val="32"/>
          <w:szCs w:val="32"/>
        </w:rPr>
        <w:t>月</w:t>
      </w:r>
      <w:r>
        <w:rPr>
          <w:rFonts w:hint="eastAsia"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87B43"/>
    <w:rsid w:val="000A5223"/>
    <w:rsid w:val="00150461"/>
    <w:rsid w:val="00163348"/>
    <w:rsid w:val="001702D6"/>
    <w:rsid w:val="00176683"/>
    <w:rsid w:val="001B2CA9"/>
    <w:rsid w:val="001D239C"/>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5B24C8"/>
    <w:rsid w:val="00677DBB"/>
    <w:rsid w:val="006C311F"/>
    <w:rsid w:val="006C6CD7"/>
    <w:rsid w:val="006D6BB3"/>
    <w:rsid w:val="00751D1A"/>
    <w:rsid w:val="007752D3"/>
    <w:rsid w:val="007B2EEE"/>
    <w:rsid w:val="007D09B9"/>
    <w:rsid w:val="008542A3"/>
    <w:rsid w:val="00892619"/>
    <w:rsid w:val="008C65AC"/>
    <w:rsid w:val="00912D78"/>
    <w:rsid w:val="00915DD7"/>
    <w:rsid w:val="009928C2"/>
    <w:rsid w:val="009B0D09"/>
    <w:rsid w:val="009B2BF1"/>
    <w:rsid w:val="009C08AA"/>
    <w:rsid w:val="00A40DB8"/>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6C6C3424"/>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685</Words>
  <Characters>3907</Characters>
  <Lines>32</Lines>
  <Paragraphs>9</Paragraphs>
  <TotalTime>474</TotalTime>
  <ScaleCrop>false</ScaleCrop>
  <LinksUpToDate>false</LinksUpToDate>
  <CharactersWithSpaces>4583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2024-09-04T09:17:53Z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