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上海段和段（德阳）律师事务所提交的《上海段和段（德阳）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上海段和段（德阳）律师事务所律师服务收费标准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本所根据国家、四川省相关法律法规及规范性文件的规定和要求，并结合本市、本所实际情况制定本收费标准。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的类型、复杂程度、工作时长、参与人数、执业经验、风险程度、案件标的额等具体情况，根据本收费标准由委托人与律师自愿平等协商，公平合理地确定收费方式和收费金额。</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律师办理委托事项过程中发生的诉讼费、仲裁费、鉴定费、公证费、异地办案差旅费、专家论证费等费用，以及律师事务所代委托人支付的其他费用，由委托人另行支付。</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以上收费方式，在同一法律服务办理的不同阶段，可以选择同一种方式，也可以选择不同种方式，或两种及以上的方式确定律师服务费的计算及支付方式。</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（一）代书、起草、审查修改合同或者其他法律文书、律师函、律师见证、代为声明、参加谈判、会议、主持调解等，可按件收费或按照标的额收费，按件收费的每件</w:t>
      </w:r>
      <w:r>
        <w:rPr>
          <w:rFonts w:ascii="Times New Roman" w:hAnsi="Times New Roman" w:eastAsia="仿宋" w:cs="Times New Roman"/>
          <w:sz w:val="32"/>
          <w:szCs w:val="32"/>
        </w:rPr>
        <w:t>2000</w:t>
      </w:r>
      <w:r>
        <w:rPr>
          <w:rFonts w:ascii="Times New Roman" w:hAnsi="仿宋" w:eastAsia="仿宋" w:cs="Times New Roman"/>
          <w:sz w:val="32"/>
          <w:szCs w:val="32"/>
        </w:rPr>
        <w:t>元</w:t>
      </w:r>
      <w:r>
        <w:rPr>
          <w:rFonts w:ascii="Times New Roman" w:hAnsi="Times New Roman" w:eastAsia="仿宋" w:cs="Times New Roman"/>
          <w:sz w:val="32"/>
          <w:szCs w:val="32"/>
        </w:rPr>
        <w:t>—15</w:t>
      </w:r>
      <w:r>
        <w:rPr>
          <w:rFonts w:ascii="Times New Roman" w:hAnsi="仿宋" w:eastAsia="仿宋" w:cs="Times New Roman"/>
          <w:sz w:val="32"/>
          <w:szCs w:val="32"/>
        </w:rPr>
        <w:t>万元，按标的额收费的为</w:t>
      </w:r>
      <w:r>
        <w:rPr>
          <w:rFonts w:ascii="Times New Roman" w:hAnsi="Times New Roman" w:eastAsia="仿宋" w:cs="Times New Roman"/>
          <w:sz w:val="32"/>
          <w:szCs w:val="32"/>
        </w:rPr>
        <w:t>1%—10%</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（三）企业合规体系建设、专项事务法律顾问、法律风险评估或论证、合法性审查、法律意见书、尽职调查、法律培训等，不涉及财产的，可按件收费，每件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对于上述按件收费情形，可根据案件情况、复杂程度，合理上浮。</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工作时间，也包括各类非诉法律事务中律师的资料整理、查询、文书起草、修订、谈判等工作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万元范围内收取律师服务费，可根据案件情况，合理上浮，上浮比例不超过原服务费金额的</w:t>
      </w:r>
      <w:r>
        <w:rPr>
          <w:rFonts w:ascii="Times New Roman" w:hAnsi="Times New Roman" w:eastAsia="仿宋" w:cs="Times New Roman"/>
          <w:sz w:val="32"/>
          <w:szCs w:val="32"/>
        </w:rPr>
        <w:t>2</w:t>
      </w:r>
      <w:r>
        <w:rPr>
          <w:rFonts w:ascii="Times New Roman" w:hAnsi="仿宋" w:eastAsia="仿宋" w:cs="Times New Roman"/>
          <w:sz w:val="32"/>
          <w:szCs w:val="32"/>
        </w:rPr>
        <w:t>倍（含）。</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涉及财产利益关系的法律事务，如系诉讼事务，则在每个独立的诉讼阶段、执行阶段中，可按案件争议标的额金额的一定比例分段累计收费，具体如下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5%-10%</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2%-6%;</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1%-4%</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上述收费若案情简单可下浮不超过</w:t>
      </w:r>
      <w:r>
        <w:rPr>
          <w:rFonts w:ascii="Times New Roman" w:hAnsi="Times New Roman" w:eastAsia="仿宋" w:cs="Times New Roman"/>
          <w:sz w:val="32"/>
          <w:szCs w:val="32"/>
        </w:rPr>
        <w:t>20%</w:t>
      </w:r>
      <w:r>
        <w:rPr>
          <w:rFonts w:ascii="Times New Roman" w:hAnsi="仿宋" w:eastAsia="仿宋" w:cs="Times New Roman"/>
          <w:sz w:val="32"/>
          <w:szCs w:val="32"/>
        </w:rPr>
        <w:t>（含）收费。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30%</w:t>
      </w:r>
      <w:r>
        <w:rPr>
          <w:rFonts w:ascii="Times New Roman" w:hAnsi="仿宋" w:eastAsia="仿宋" w:cs="Times New Roman"/>
          <w:sz w:val="32"/>
          <w:szCs w:val="32"/>
        </w:rPr>
        <w:t>的优惠。</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9%-18%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3%-9%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2%-6%</w:t>
      </w:r>
      <w:r>
        <w:rPr>
          <w:rFonts w:ascii="Times New Roman" w:hAnsi="仿宋" w:eastAsia="仿宋" w:cs="Times New Roman"/>
          <w:sz w:val="32"/>
          <w:szCs w:val="32"/>
        </w:rPr>
        <w:t>计算。采用风险代理的，可以约定其中固定收取的部分以及风险代理的部分费用，但总额不超过上述律师服务费比例。</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预计应当支付的律师服务费提供相应的担保。</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上述风险代理收费若案情简单可下浮不超过</w:t>
      </w:r>
      <w:r>
        <w:rPr>
          <w:rFonts w:ascii="Times New Roman" w:hAnsi="Times New Roman" w:eastAsia="仿宋" w:cs="Times New Roman"/>
          <w:sz w:val="32"/>
          <w:szCs w:val="32"/>
        </w:rPr>
        <w:t>20%</w:t>
      </w:r>
      <w:r>
        <w:rPr>
          <w:rFonts w:ascii="Times New Roman" w:hAnsi="仿宋" w:eastAsia="仿宋" w:cs="Times New Roman"/>
          <w:sz w:val="32"/>
          <w:szCs w:val="32"/>
        </w:rPr>
        <w:t>（含）收费。</w:t>
      </w:r>
    </w:p>
    <w:p>
      <w:pPr>
        <w:pStyle w:val="6"/>
        <w:spacing w:beforeAutospacing="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律师事务所和律师不得在风险代理合同中排除或者限制当事人上诉、撤诉、调解、和解等诉讼权利，但可以约定出现前述情形时律师服务费的计算和支付方式。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在订立风险代理合同过程中，律师或律师事务所应当按相关规定向委托人作出提示义务和告知义务，并可要求委托人签署告知书</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阶段、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万元；上述阶段同时由本所律师代理的，可给予优惠；仅提供会见等临时阶段法律服务的，收费不低于</w:t>
      </w:r>
      <w:r>
        <w:rPr>
          <w:rFonts w:ascii="Times New Roman" w:hAnsi="Times New Roman" w:eastAsia="仿宋" w:cs="Times New Roman"/>
          <w:sz w:val="32"/>
          <w:szCs w:val="32"/>
        </w:rPr>
        <w:t>3000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3-30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不能采取或变相采取风险代理收费的，参照本标准第二章第二节的规定执行。</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bCs/>
          <w:sz w:val="32"/>
          <w:szCs w:val="32"/>
        </w:rPr>
        <w:t>法律咨询收费按件</w:t>
      </w:r>
      <w:r>
        <w:rPr>
          <w:rFonts w:ascii="Times New Roman" w:hAnsi="Times New Roman" w:eastAsia="仿宋" w:cs="Times New Roman"/>
          <w:bCs/>
          <w:sz w:val="32"/>
          <w:szCs w:val="32"/>
        </w:rPr>
        <w:t>/</w:t>
      </w:r>
      <w:r>
        <w:rPr>
          <w:rFonts w:ascii="Times New Roman" w:hAnsi="仿宋" w:eastAsia="仿宋" w:cs="Times New Roman"/>
          <w:bCs/>
          <w:sz w:val="32"/>
          <w:szCs w:val="32"/>
        </w:rPr>
        <w:t>次，每件不低于</w:t>
      </w:r>
      <w:r>
        <w:rPr>
          <w:rFonts w:ascii="Times New Roman" w:hAnsi="Times New Roman" w:eastAsia="仿宋" w:cs="Times New Roman"/>
          <w:bCs/>
          <w:sz w:val="32"/>
          <w:szCs w:val="32"/>
        </w:rPr>
        <w:t>200</w:t>
      </w:r>
      <w:r>
        <w:rPr>
          <w:rFonts w:ascii="Times New Roman" w:hAnsi="仿宋" w:eastAsia="仿宋" w:cs="Times New Roman"/>
          <w:bCs/>
          <w:sz w:val="32"/>
          <w:szCs w:val="32"/>
        </w:rPr>
        <w:t>元</w:t>
      </w:r>
      <w:r>
        <w:rPr>
          <w:rFonts w:ascii="Times New Roman" w:hAnsi="Times New Roman" w:eastAsia="仿宋" w:cs="Times New Roman"/>
          <w:bCs/>
          <w:sz w:val="32"/>
          <w:szCs w:val="32"/>
        </w:rPr>
        <w:t>/</w:t>
      </w:r>
      <w:r>
        <w:rPr>
          <w:rFonts w:ascii="Times New Roman" w:hAnsi="仿宋" w:eastAsia="仿宋" w:cs="Times New Roman"/>
          <w:bCs/>
          <w:sz w:val="32"/>
          <w:szCs w:val="32"/>
        </w:rPr>
        <w:t>次，限时</w:t>
      </w:r>
      <w:r>
        <w:rPr>
          <w:rFonts w:ascii="Times New Roman" w:hAnsi="Times New Roman" w:eastAsia="仿宋" w:cs="Times New Roman"/>
          <w:bCs/>
          <w:sz w:val="32"/>
          <w:szCs w:val="32"/>
        </w:rPr>
        <w:t>1</w:t>
      </w:r>
      <w:r>
        <w:rPr>
          <w:rFonts w:ascii="Times New Roman" w:hAnsi="仿宋" w:eastAsia="仿宋" w:cs="Times New Roman"/>
          <w:bCs/>
          <w:sz w:val="32"/>
          <w:szCs w:val="32"/>
        </w:rPr>
        <w:t>小时以内。每件</w:t>
      </w:r>
      <w:r>
        <w:rPr>
          <w:rFonts w:ascii="Times New Roman" w:hAnsi="Times New Roman" w:eastAsia="仿宋" w:cs="Times New Roman"/>
          <w:bCs/>
          <w:sz w:val="32"/>
          <w:szCs w:val="32"/>
        </w:rPr>
        <w:t>/</w:t>
      </w:r>
      <w:r>
        <w:rPr>
          <w:rFonts w:ascii="Times New Roman" w:hAnsi="仿宋" w:eastAsia="仿宋" w:cs="Times New Roman"/>
          <w:bCs/>
          <w:sz w:val="32"/>
          <w:szCs w:val="32"/>
        </w:rPr>
        <w:t>次法律咨询收费的上限为</w:t>
      </w:r>
      <w:r>
        <w:rPr>
          <w:rFonts w:ascii="Times New Roman" w:hAnsi="Times New Roman" w:eastAsia="仿宋" w:cs="Times New Roman"/>
          <w:bCs/>
          <w:sz w:val="32"/>
          <w:szCs w:val="32"/>
        </w:rPr>
        <w:t>30000</w:t>
      </w:r>
      <w:r>
        <w:rPr>
          <w:rFonts w:ascii="Times New Roman" w:hAnsi="仿宋" w:eastAsia="仿宋" w:cs="Times New Roman"/>
          <w:bCs/>
          <w:sz w:val="32"/>
          <w:szCs w:val="32"/>
        </w:rPr>
        <w:t>元</w:t>
      </w:r>
      <w:r>
        <w:rPr>
          <w:rFonts w:ascii="Times New Roman" w:hAnsi="Times New Roman" w:eastAsia="仿宋" w:cs="Times New Roman"/>
          <w:bCs/>
          <w:sz w:val="32"/>
          <w:szCs w:val="32"/>
        </w:rPr>
        <w:t>/</w:t>
      </w:r>
      <w:r>
        <w:rPr>
          <w:rFonts w:ascii="Times New Roman" w:hAnsi="仿宋" w:eastAsia="仿宋" w:cs="Times New Roman"/>
          <w:bCs/>
          <w:sz w:val="32"/>
          <w:szCs w:val="32"/>
        </w:rPr>
        <w:t>次，限时</w:t>
      </w:r>
      <w:r>
        <w:rPr>
          <w:rFonts w:ascii="Times New Roman" w:hAnsi="Times New Roman" w:eastAsia="仿宋" w:cs="Times New Roman"/>
          <w:bCs/>
          <w:sz w:val="32"/>
          <w:szCs w:val="32"/>
        </w:rPr>
        <w:t>1</w:t>
      </w:r>
      <w:r>
        <w:rPr>
          <w:rFonts w:ascii="Times New Roman" w:hAnsi="仿宋" w:eastAsia="仿宋" w:cs="Times New Roman"/>
          <w:bCs/>
          <w:sz w:val="32"/>
          <w:szCs w:val="32"/>
        </w:rPr>
        <w:t>小时以内。</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选择计时收费的案件，如涉及涉外（含港、澳、台）案件及重大、疑难、复杂或律师工作量大的民事诉讼、仲裁案件，可以按计时收费标准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w:t>
      </w:r>
      <w:r>
        <w:rPr>
          <w:rFonts w:ascii="Times New Roman" w:hAnsi="仿宋" w:eastAsia="仿宋" w:cs="Times New Roman"/>
          <w:sz w:val="32"/>
          <w:szCs w:val="32"/>
        </w:rPr>
        <w:t>倍执行。经委托人同意，也可以由本所参照外国或港、澳、台地区律师事务所驻我国代表机构办理同类法律事务的收费标准，与委托人协商确定收费数额。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对于重大、疑难、复杂或律师工作量大的民事诉讼、仲裁案件，可以在民事诉讼案件一审阶段的收费标准基础上浮不超过</w:t>
      </w:r>
      <w:r>
        <w:rPr>
          <w:rFonts w:ascii="Times New Roman" w:hAnsi="Times New Roman" w:eastAsia="仿宋" w:cs="Times New Roman"/>
          <w:sz w:val="32"/>
          <w:szCs w:val="32"/>
        </w:rPr>
        <w:t>3</w:t>
      </w:r>
      <w:r>
        <w:rPr>
          <w:rFonts w:ascii="Times New Roman" w:hAnsi="仿宋" w:eastAsia="仿宋" w:cs="Times New Roman"/>
          <w:sz w:val="32"/>
          <w:szCs w:val="32"/>
        </w:rPr>
        <w:t>倍（含）收费。下列案件为重大、疑难、复杂民事诉讼、仲裁案件：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其他经本所与委托人协商，双方认为属于重大、疑难或复杂的民事诉讼、仲裁案件。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办理职务犯罪、异地、重大、疑难、复杂、社会影响较大的刑事诉讼案件，可以在本收费标准中刑事收费标准基础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本所参与投标或国有企事业单位、行政单位对报价或签约价有要求或限制的，可按照该要求或限制确定法律服务费。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对办理涉及低收入、农民工、残疾人等弱势群体或者与公益活动有关的法律服务事项，可以酌情减免律师服务费。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全体律师除前述第三十条、第三十一条、第三十二条涉及案件外，其他案件收费应严格按本收费标准执行，不得以争揽业务为目的，通过减收或免收律师服务费吸引委托人，进行低价的不正当竞争。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本收费标准应当按照相关规定予以备案，并在所内公示，律师事务所全体律师严格遵照执行，并接受社会监督。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20" w:lineRule="exact"/>
        <w:ind w:firstLine="640" w:firstLineChars="200"/>
        <w:jc w:val="left"/>
        <w:rPr>
          <w:rFonts w:ascii="Times New Roman" w:hAnsi="Times New Roman" w:eastAsia="仿宋" w:cs="Times New Roman"/>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0" w:name="_GoBack"/>
      <w:bookmarkEnd w:id="0"/>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3458"/>
    <w:rsid w:val="00404C3D"/>
    <w:rsid w:val="004128C2"/>
    <w:rsid w:val="004C268B"/>
    <w:rsid w:val="004D1774"/>
    <w:rsid w:val="004D70C4"/>
    <w:rsid w:val="005245C8"/>
    <w:rsid w:val="00557E26"/>
    <w:rsid w:val="00567584"/>
    <w:rsid w:val="00623CDC"/>
    <w:rsid w:val="00677DBB"/>
    <w:rsid w:val="006C311F"/>
    <w:rsid w:val="006C6CD7"/>
    <w:rsid w:val="006D6BB3"/>
    <w:rsid w:val="00724CFA"/>
    <w:rsid w:val="00751D1A"/>
    <w:rsid w:val="007752D3"/>
    <w:rsid w:val="007B2EEE"/>
    <w:rsid w:val="007D09B9"/>
    <w:rsid w:val="008542A3"/>
    <w:rsid w:val="00892619"/>
    <w:rsid w:val="008B2C7F"/>
    <w:rsid w:val="008C65AC"/>
    <w:rsid w:val="00912D78"/>
    <w:rsid w:val="00915DD7"/>
    <w:rsid w:val="009928C2"/>
    <w:rsid w:val="00993234"/>
    <w:rsid w:val="009B0D09"/>
    <w:rsid w:val="009B2BF1"/>
    <w:rsid w:val="009C08AA"/>
    <w:rsid w:val="00A40DB8"/>
    <w:rsid w:val="00A5775E"/>
    <w:rsid w:val="00A702DB"/>
    <w:rsid w:val="00A75AA1"/>
    <w:rsid w:val="00B718AA"/>
    <w:rsid w:val="00BB26EC"/>
    <w:rsid w:val="00BF6BC4"/>
    <w:rsid w:val="00C03D2E"/>
    <w:rsid w:val="00C31312"/>
    <w:rsid w:val="00C42A1D"/>
    <w:rsid w:val="00CB26F6"/>
    <w:rsid w:val="00CD5BE8"/>
    <w:rsid w:val="00CE1660"/>
    <w:rsid w:val="00D0276C"/>
    <w:rsid w:val="00D23FC9"/>
    <w:rsid w:val="00D246FF"/>
    <w:rsid w:val="00D40349"/>
    <w:rsid w:val="00D51C2A"/>
    <w:rsid w:val="00D73BEF"/>
    <w:rsid w:val="00D94AA5"/>
    <w:rsid w:val="00DA1D58"/>
    <w:rsid w:val="00DC11B8"/>
    <w:rsid w:val="00E53727"/>
    <w:rsid w:val="00E64635"/>
    <w:rsid w:val="00E7708B"/>
    <w:rsid w:val="00EA5D3A"/>
    <w:rsid w:val="00EF32BA"/>
    <w:rsid w:val="00F618B6"/>
    <w:rsid w:val="00F73074"/>
    <w:rsid w:val="00FB0721"/>
    <w:rsid w:val="00FE2E7F"/>
    <w:rsid w:val="351E652A"/>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743</Words>
  <Characters>4236</Characters>
  <Lines>35</Lines>
  <Paragraphs>9</Paragraphs>
  <TotalTime>480</TotalTime>
  <ScaleCrop>false</ScaleCrop>
  <LinksUpToDate>false</LinksUpToDate>
  <CharactersWithSpaces>4970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2024-09-04T09:16:55Z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