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p>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6</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号）及省上相关规定，本会对四川宗元律师事务所提交的《四川宗元律师事务所律师服务收费标准》已审查完毕，相关内容符合相关规定，本会同意备案人的备案申请，该收费标准自备案之日起至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四川宗元律师事务所律师服务收费标准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hd w:val="clear" w:color="auto" w:fill="FFFFFF"/>
        <w:spacing w:before="0" w:beforeAutospacing="0" w:after="0" w:afterAutospacing="0" w:line="520" w:lineRule="exact"/>
        <w:ind w:firstLine="643"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第一条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rPr>
        <w:t>根据《中华人民共和国律师法》、</w:t>
      </w:r>
      <w:r>
        <w:rPr>
          <w:rStyle w:val="10"/>
          <w:rFonts w:ascii="Times New Roman" w:hAnsi="仿宋" w:eastAsia="仿宋" w:cs="Times New Roman"/>
          <w:b w:val="0"/>
          <w:sz w:val="32"/>
          <w:szCs w:val="32"/>
          <w:shd w:val="clear" w:color="auto" w:fill="FFFFFF"/>
        </w:rPr>
        <w:t>司法部国家发展和改革委员会、国家市场监督管理总局印发《关于进一步规范律师服务收费的意见》的通知</w:t>
      </w:r>
      <w:r>
        <w:rPr>
          <w:rStyle w:val="10"/>
          <w:rFonts w:ascii="Times New Roman" w:hAnsi="Times New Roman" w:eastAsia="仿宋" w:cs="Times New Roman"/>
          <w:b w:val="0"/>
          <w:sz w:val="32"/>
          <w:szCs w:val="32"/>
          <w:shd w:val="clear" w:color="auto" w:fill="FFFFFF"/>
        </w:rPr>
        <w:t>“</w:t>
      </w:r>
      <w:r>
        <w:rPr>
          <w:rFonts w:ascii="Times New Roman" w:hAnsi="仿宋" w:eastAsia="仿宋" w:cs="Times New Roman"/>
          <w:sz w:val="32"/>
          <w:szCs w:val="32"/>
          <w:shd w:val="clear" w:color="auto" w:fill="FFFFFF"/>
        </w:rPr>
        <w:t>司发通〔</w:t>
      </w:r>
      <w:r>
        <w:rPr>
          <w:rFonts w:ascii="Times New Roman" w:hAnsi="Times New Roman" w:eastAsia="仿宋" w:cs="Times New Roman"/>
          <w:sz w:val="32"/>
          <w:szCs w:val="32"/>
          <w:shd w:val="clear" w:color="auto" w:fill="FFFFFF"/>
        </w:rPr>
        <w:t>2021</w:t>
      </w:r>
      <w:r>
        <w:rPr>
          <w:rFonts w:ascii="Times New Roman" w:hAnsi="仿宋" w:eastAsia="仿宋" w:cs="Times New Roman"/>
          <w:sz w:val="32"/>
          <w:szCs w:val="32"/>
          <w:shd w:val="clear" w:color="auto" w:fill="FFFFFF"/>
        </w:rPr>
        <w:t>〕</w:t>
      </w:r>
      <w:r>
        <w:rPr>
          <w:rFonts w:ascii="Times New Roman" w:hAnsi="Times New Roman" w:eastAsia="仿宋" w:cs="Times New Roman"/>
          <w:sz w:val="32"/>
          <w:szCs w:val="32"/>
          <w:shd w:val="clear" w:color="auto" w:fill="FFFFFF"/>
        </w:rPr>
        <w:t>87</w:t>
      </w:r>
      <w:r>
        <w:rPr>
          <w:rFonts w:ascii="Times New Roman" w:hAnsi="仿宋" w:eastAsia="仿宋" w:cs="Times New Roman"/>
          <w:sz w:val="32"/>
          <w:szCs w:val="32"/>
          <w:shd w:val="clear" w:color="auto" w:fill="FFFFFF"/>
        </w:rPr>
        <w:t>号</w:t>
      </w:r>
      <w:r>
        <w:rPr>
          <w:rStyle w:val="10"/>
          <w:rFonts w:ascii="Times New Roman" w:hAnsi="Times New Roman" w:eastAsia="仿宋" w:cs="Times New Roman"/>
          <w:b w:val="0"/>
          <w:sz w:val="32"/>
          <w:szCs w:val="32"/>
          <w:shd w:val="clear" w:color="auto" w:fill="FFFFFF"/>
        </w:rPr>
        <w:t>”</w:t>
      </w:r>
      <w:r>
        <w:rPr>
          <w:rFonts w:ascii="Times New Roman" w:hAnsi="仿宋" w:eastAsia="仿宋" w:cs="Times New Roman"/>
          <w:sz w:val="32"/>
          <w:szCs w:val="32"/>
          <w:shd w:val="clear" w:color="auto" w:fill="FFFFFF"/>
        </w:rPr>
        <w:t>的文件规定并结合德阳市经济发展情况和本所实际，制定本收费标准。</w:t>
      </w:r>
    </w:p>
    <w:p>
      <w:pPr>
        <w:pStyle w:val="6"/>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第二条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第三条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律师服务收费是律师事务所接收委托办理法律事务，向委托人收取服务报酬的行为。</w:t>
      </w:r>
    </w:p>
    <w:p>
      <w:pPr>
        <w:pStyle w:val="6"/>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律师办理委托事务过程中发生的诉讼费、仲裁费、鉴定费、公证费、查档费、保全费、翻译费、异地办案差旅费、跨境通讯费、专家论证费等费用，以及律师事务所代委托人支付的其他费用，不属于律师服务费，由委托人另行支付。</w:t>
      </w:r>
    </w:p>
    <w:p>
      <w:pPr>
        <w:pStyle w:val="6"/>
        <w:numPr>
          <w:ilvl w:val="0"/>
          <w:numId w:val="1"/>
        </w:numPr>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本所就下列委托事项收取律师服务费：</w:t>
      </w:r>
    </w:p>
    <w:p>
      <w:pPr>
        <w:pStyle w:val="6"/>
        <w:numPr>
          <w:ilvl w:val="0"/>
          <w:numId w:val="2"/>
        </w:numPr>
        <w:shd w:val="clear" w:color="auto" w:fill="FFFFFF"/>
        <w:spacing w:before="0" w:beforeAutospacing="0" w:after="0" w:afterAutospacing="0" w:line="520" w:lineRule="exact"/>
        <w:ind w:firstLine="640"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代理各类案件担任代理人、辩护人、起草相关法律文书，开展各类专项法律服务，担任法律顾问，接受法律咨询等法律业务。</w:t>
      </w:r>
    </w:p>
    <w:p>
      <w:pPr>
        <w:pStyle w:val="6"/>
        <w:numPr>
          <w:ilvl w:val="0"/>
          <w:numId w:val="2"/>
        </w:numPr>
        <w:shd w:val="clear" w:color="auto" w:fill="FFFFFF"/>
        <w:spacing w:before="0" w:beforeAutospacing="0" w:after="0" w:afterAutospacing="0" w:line="520" w:lineRule="exact"/>
        <w:ind w:firstLine="640"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律师从事其它与法律服务及法律培训相关的事务。</w:t>
      </w:r>
    </w:p>
    <w:p>
      <w:pPr>
        <w:pStyle w:val="6"/>
        <w:numPr>
          <w:ilvl w:val="0"/>
          <w:numId w:val="1"/>
        </w:numPr>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hd w:val="clear" w:color="auto" w:fill="FFFFFF"/>
        <w:spacing w:before="0" w:beforeAutospacing="0" w:after="0" w:afterAutospacing="0" w:line="520" w:lineRule="exact"/>
        <w:ind w:firstLine="640"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以上收费方式，在同一法律服务办理的不同阶段，可以选择同一种方式，也可选择不同种方式。</w:t>
      </w:r>
    </w:p>
    <w:p>
      <w:pPr>
        <w:pStyle w:val="6"/>
        <w:numPr>
          <w:ilvl w:val="0"/>
          <w:numId w:val="1"/>
        </w:numPr>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律师服务费的收费方式和收费金额，应由律师事务所与委托人签订相应的法律事务委托代理合同进行约定，律师服务费应由律师事务所统一收取、统一入账，律师个人不得向委托人收取律师服务费。确因交通不便及支付方式限制等特殊情况，委托人提出由律师代为收取的，律师应当在代收款项后</w:t>
      </w:r>
      <w:r>
        <w:rPr>
          <w:rFonts w:ascii="Times New Roman" w:hAnsi="Times New Roman" w:eastAsia="仿宋" w:cs="Times New Roman"/>
          <w:sz w:val="32"/>
          <w:szCs w:val="32"/>
          <w:shd w:val="clear" w:color="auto" w:fill="FFFFFF"/>
        </w:rPr>
        <w:t>3</w:t>
      </w:r>
      <w:r>
        <w:rPr>
          <w:rFonts w:ascii="Times New Roman" w:hAnsi="仿宋" w:eastAsia="仿宋" w:cs="Times New Roman"/>
          <w:sz w:val="32"/>
          <w:szCs w:val="32"/>
          <w:shd w:val="clear" w:color="auto" w:fill="FFFFFF"/>
        </w:rPr>
        <w:t>个工作日内将律师服务费转入律师事务所账户。</w:t>
      </w:r>
    </w:p>
    <w:p>
      <w:pPr>
        <w:pStyle w:val="6"/>
        <w:shd w:val="clear" w:color="auto" w:fill="FFFFFF"/>
        <w:spacing w:before="0" w:beforeAutospacing="0" w:after="0" w:afterAutospacing="0" w:line="520" w:lineRule="exact"/>
        <w:ind w:firstLine="640"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除律师服务费、代委托人支付的费用、异地办案差旅费、跨境通讯费外，不得以任何名义向委托人收取其他费用。</w:t>
      </w:r>
    </w:p>
    <w:p>
      <w:pPr>
        <w:pStyle w:val="6"/>
        <w:numPr>
          <w:ilvl w:val="0"/>
          <w:numId w:val="1"/>
        </w:numPr>
        <w:shd w:val="clear" w:color="auto" w:fill="FFFFFF"/>
        <w:spacing w:before="0" w:beforeAutospacing="0" w:after="0" w:afterAutospacing="0" w:line="520" w:lineRule="exact"/>
        <w:ind w:firstLine="560"/>
        <w:jc w:val="both"/>
        <w:rPr>
          <w:rFonts w:ascii="Times New Roman" w:hAnsi="Times New Roman" w:eastAsia="仿宋" w:cs="Times New Roman"/>
          <w:sz w:val="32"/>
          <w:szCs w:val="32"/>
          <w:shd w:val="clear" w:color="auto" w:fill="FFFFFF"/>
        </w:rPr>
      </w:pPr>
      <w:r>
        <w:rPr>
          <w:rFonts w:ascii="Times New Roman" w:hAnsi="仿宋" w:eastAsia="仿宋" w:cs="Times New Roman"/>
          <w:sz w:val="32"/>
          <w:szCs w:val="32"/>
          <w:shd w:val="clear" w:color="auto" w:fill="FFFFFF"/>
        </w:rPr>
        <w:t>律师服务费由律师事务所依约定收取并据实开具律师服务费发票，代委托人支付的费用及非包干异地办案差旅费、跨境通讯费应当提供有效凭证。</w:t>
      </w:r>
    </w:p>
    <w:p>
      <w:pPr>
        <w:pStyle w:val="6"/>
        <w:shd w:val="clear" w:color="auto" w:fill="FFFFFF"/>
        <w:spacing w:before="0" w:beforeAutospacing="0" w:after="0" w:afterAutospacing="0" w:line="520" w:lineRule="exact"/>
        <w:jc w:val="center"/>
        <w:rPr>
          <w:rFonts w:ascii="Times New Roman" w:hAnsi="Times New Roman" w:eastAsia="黑体" w:cs="Times New Roman"/>
          <w:bCs/>
          <w:sz w:val="32"/>
          <w:szCs w:val="32"/>
          <w:shd w:val="clear" w:color="auto" w:fill="FFFFFF"/>
        </w:rPr>
      </w:pPr>
      <w:r>
        <w:rPr>
          <w:rFonts w:ascii="Times New Roman" w:hAnsi="黑体" w:eastAsia="黑体" w:cs="Times New Roman"/>
          <w:bCs/>
          <w:sz w:val="32"/>
          <w:szCs w:val="32"/>
          <w:shd w:val="clear" w:color="auto" w:fill="FFFFFF"/>
        </w:rPr>
        <w:t>第二章</w:t>
      </w:r>
      <w:r>
        <w:rPr>
          <w:rFonts w:ascii="Times New Roman" w:hAnsi="Times New Roman" w:eastAsia="黑体" w:cs="Times New Roman"/>
          <w:bCs/>
          <w:sz w:val="32"/>
          <w:szCs w:val="32"/>
          <w:shd w:val="clear" w:color="auto" w:fill="FFFFFF"/>
        </w:rPr>
        <w:t xml:space="preserve"> </w:t>
      </w:r>
      <w:r>
        <w:rPr>
          <w:rFonts w:ascii="Times New Roman" w:hAnsi="黑体" w:eastAsia="黑体" w:cs="Times New Roman"/>
          <w:bCs/>
          <w:sz w:val="32"/>
          <w:szCs w:val="32"/>
          <w:shd w:val="clear" w:color="auto" w:fill="FFFFFF"/>
        </w:rPr>
        <w:t>收费标准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办理刑事诉讼案件实行计件收费，标准如下：</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担任刑事案件</w:t>
      </w:r>
      <w:r>
        <w:fldChar w:fldCharType="begin"/>
      </w:r>
      <w:r>
        <w:instrText xml:space="preserve"> HYPERLINK "https://www.66law.cn/special/fzxyr/" \t "https://www.66law.cn/laws/_blank" \o "犯罪嫌疑人" </w:instrText>
      </w:r>
      <w:r>
        <w:fldChar w:fldCharType="separate"/>
      </w:r>
      <w:r>
        <w:rPr>
          <w:rStyle w:val="11"/>
          <w:rFonts w:ascii="Times New Roman" w:hAnsi="仿宋" w:eastAsia="仿宋" w:cs="Times New Roman"/>
          <w:color w:val="auto"/>
          <w:sz w:val="32"/>
          <w:szCs w:val="32"/>
        </w:rPr>
        <w:t>犯罪嫌疑人</w:t>
      </w:r>
      <w:r>
        <w:rPr>
          <w:rStyle w:val="11"/>
          <w:rFonts w:ascii="Times New Roman" w:hAnsi="仿宋" w:eastAsia="仿宋" w:cs="Times New Roman"/>
          <w:color w:val="auto"/>
          <w:sz w:val="32"/>
          <w:szCs w:val="32"/>
        </w:rPr>
        <w:fldChar w:fldCharType="end"/>
      </w:r>
      <w:r>
        <w:rPr>
          <w:rFonts w:ascii="Times New Roman" w:hAnsi="仿宋" w:eastAsia="仿宋" w:cs="Times New Roman"/>
          <w:sz w:val="32"/>
          <w:szCs w:val="32"/>
        </w:rPr>
        <w:t>、被告人的辩护人：</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w:t>
      </w:r>
      <w:r>
        <w:rPr>
          <w:rFonts w:ascii="Times New Roman" w:hAnsi="仿宋" w:eastAsia="仿宋" w:cs="Times New Roman"/>
          <w:sz w:val="32"/>
          <w:szCs w:val="32"/>
        </w:rPr>
        <w:t>含检察院自侦阶段</w:t>
      </w:r>
      <w:r>
        <w:rPr>
          <w:rFonts w:ascii="Times New Roman" w:hAnsi="Times New Roman" w:eastAsia="仿宋" w:cs="Times New Roman"/>
          <w:sz w:val="32"/>
          <w:szCs w:val="32"/>
        </w:rPr>
        <w:t>)</w:t>
      </w:r>
      <w:r>
        <w:rPr>
          <w:rFonts w:ascii="Times New Roman" w:hAnsi="仿宋" w:eastAsia="仿宋" w:cs="Times New Roman"/>
          <w:sz w:val="32"/>
          <w:szCs w:val="32"/>
        </w:rPr>
        <w:t>：</w:t>
      </w:r>
      <w:r>
        <w:rPr>
          <w:rFonts w:ascii="Times New Roman" w:hAnsi="Times New Roman" w:eastAsia="仿宋" w:cs="Times New Roman"/>
          <w:sz w:val="32"/>
          <w:szCs w:val="32"/>
        </w:rPr>
        <w:t>10000-200000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r>
        <w:rPr>
          <w:rFonts w:ascii="Times New Roman" w:hAnsi="Times New Roman" w:eastAsia="仿宋" w:cs="Times New Roman"/>
          <w:sz w:val="32"/>
          <w:szCs w:val="32"/>
        </w:rPr>
        <w:t>;</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10000-200000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r>
        <w:rPr>
          <w:rFonts w:ascii="Times New Roman" w:hAnsi="Times New Roman" w:eastAsia="仿宋" w:cs="Times New Roman"/>
          <w:sz w:val="32"/>
          <w:szCs w:val="32"/>
        </w:rPr>
        <w:t>;</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10000-300000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刑事服刑犯人的再审、申诉、减刑、假释、保外就医、社区监管、罚金刑的执行、财产没收等代理事务：</w:t>
      </w:r>
      <w:r>
        <w:rPr>
          <w:rFonts w:ascii="Times New Roman" w:hAnsi="Times New Roman" w:eastAsia="仿宋" w:cs="Times New Roman"/>
          <w:sz w:val="32"/>
          <w:szCs w:val="32"/>
        </w:rPr>
        <w:t>10000-200000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10000-200000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第九条</w:t>
      </w:r>
      <w:r>
        <w:rPr>
          <w:rFonts w:ascii="Times New Roman" w:hAnsi="Times New Roman" w:eastAsia="仿宋" w:cs="Times New Roman"/>
          <w:sz w:val="32"/>
          <w:szCs w:val="32"/>
        </w:rPr>
        <w:t xml:space="preserve"> </w:t>
      </w:r>
      <w:r>
        <w:rPr>
          <w:rFonts w:ascii="Times New Roman" w:hAnsi="仿宋" w:eastAsia="仿宋" w:cs="Times New Roman"/>
          <w:sz w:val="32"/>
          <w:szCs w:val="32"/>
        </w:rPr>
        <w:t>担任民事案件代理人的服务收费标准：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（一）不涉及财产关系的，实行计件收费，每件收取</w:t>
      </w:r>
      <w:r>
        <w:rPr>
          <w:rFonts w:ascii="Times New Roman" w:hAnsi="Times New Roman" w:eastAsia="仿宋" w:cs="Times New Roman"/>
          <w:sz w:val="32"/>
          <w:szCs w:val="32"/>
        </w:rPr>
        <w:t>5000-100000</w:t>
      </w:r>
      <w:r>
        <w:rPr>
          <w:rFonts w:ascii="Times New Roman" w:hAnsi="仿宋" w:eastAsia="仿宋" w:cs="Times New Roman"/>
          <w:sz w:val="32"/>
          <w:szCs w:val="32"/>
        </w:rPr>
        <w:t>元</w:t>
      </w:r>
      <w:r>
        <w:rPr>
          <w:rFonts w:ascii="Times New Roman" w:hAnsi="Times New Roman" w:eastAsia="仿宋" w:cs="Times New Roman"/>
          <w:sz w:val="32"/>
          <w:szCs w:val="32"/>
        </w:rPr>
        <w:t>;</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涉及财产关系的，根据所涉及的标的额，按照下列比例实行收费：</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按照争议财产价值或标的额</w:t>
      </w:r>
      <w:r>
        <w:rPr>
          <w:rFonts w:ascii="Times New Roman" w:hAnsi="Times New Roman" w:eastAsia="仿宋" w:cs="Times New Roman"/>
          <w:sz w:val="32"/>
          <w:szCs w:val="32"/>
        </w:rPr>
        <w:t>1%-15%</w:t>
      </w:r>
      <w:r>
        <w:rPr>
          <w:rFonts w:ascii="Times New Roman" w:hAnsi="仿宋" w:eastAsia="仿宋" w:cs="Times New Roman"/>
          <w:sz w:val="32"/>
          <w:szCs w:val="32"/>
        </w:rPr>
        <w:t>收取代理费，最低不低于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担任行政案件代理人的服务收费标准：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（一）不涉及财产关系的，实行计件收费，每件收取</w:t>
      </w:r>
      <w:r>
        <w:rPr>
          <w:rFonts w:ascii="Times New Roman" w:hAnsi="Times New Roman" w:eastAsia="仿宋" w:cs="Times New Roman"/>
          <w:sz w:val="32"/>
          <w:szCs w:val="32"/>
        </w:rPr>
        <w:t>5000-100000</w:t>
      </w:r>
      <w:r>
        <w:rPr>
          <w:rFonts w:ascii="Times New Roman" w:hAnsi="仿宋" w:eastAsia="仿宋" w:cs="Times New Roman"/>
          <w:sz w:val="32"/>
          <w:szCs w:val="32"/>
        </w:rPr>
        <w:t>元；</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（二）涉及财产关系的，根据所涉及的标的额，按照下列比例实行收费：</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按争议财产价值或标的额</w:t>
      </w:r>
      <w:r>
        <w:rPr>
          <w:rFonts w:ascii="Times New Roman" w:hAnsi="Times New Roman" w:eastAsia="仿宋" w:cs="Times New Roman"/>
          <w:sz w:val="32"/>
          <w:szCs w:val="32"/>
        </w:rPr>
        <w:t>1%-15%</w:t>
      </w:r>
      <w:r>
        <w:rPr>
          <w:rFonts w:ascii="Times New Roman" w:hAnsi="仿宋" w:eastAsia="仿宋" w:cs="Times New Roman"/>
          <w:sz w:val="32"/>
          <w:szCs w:val="32"/>
        </w:rPr>
        <w:t>收取代理费，最低不低于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w:t>
      </w:r>
      <w:r>
        <w:fldChar w:fldCharType="begin"/>
      </w:r>
      <w:r>
        <w:instrText xml:space="preserve"> HYPERLINK "https://www.66law.cn/special/gjpcbz/" \t "https://www.66law.cn/laws/_blank" \o "国家赔偿" </w:instrText>
      </w:r>
      <w:r>
        <w:fldChar w:fldCharType="separate"/>
      </w:r>
      <w:r>
        <w:rPr>
          <w:rStyle w:val="11"/>
          <w:rFonts w:ascii="Times New Roman" w:hAnsi="仿宋" w:eastAsia="仿宋" w:cs="Times New Roman"/>
          <w:color w:val="auto"/>
          <w:sz w:val="32"/>
          <w:szCs w:val="32"/>
        </w:rPr>
        <w:t>国家赔偿</w:t>
      </w:r>
      <w:r>
        <w:rPr>
          <w:rStyle w:val="11"/>
          <w:rFonts w:ascii="Times New Roman" w:hAnsi="仿宋" w:eastAsia="仿宋" w:cs="Times New Roman"/>
          <w:color w:val="auto"/>
          <w:sz w:val="32"/>
          <w:szCs w:val="32"/>
        </w:rPr>
        <w:fldChar w:fldCharType="end"/>
      </w:r>
      <w:r>
        <w:rPr>
          <w:rFonts w:ascii="Times New Roman" w:hAnsi="仿宋" w:eastAsia="仿宋" w:cs="Times New Roman"/>
          <w:sz w:val="32"/>
          <w:szCs w:val="32"/>
        </w:rPr>
        <w:t>案件实行计件收费或按赔偿比例收费，按件每件收取</w:t>
      </w:r>
      <w:r>
        <w:rPr>
          <w:rFonts w:ascii="Times New Roman" w:hAnsi="Times New Roman" w:eastAsia="仿宋" w:cs="Times New Roman"/>
          <w:sz w:val="32"/>
          <w:szCs w:val="32"/>
        </w:rPr>
        <w:t>5000-100000</w:t>
      </w:r>
      <w:r>
        <w:rPr>
          <w:rFonts w:ascii="Times New Roman" w:hAnsi="仿宋" w:eastAsia="仿宋" w:cs="Times New Roman"/>
          <w:sz w:val="32"/>
          <w:szCs w:val="32"/>
        </w:rPr>
        <w:t>元，按比例收费则按标的额的</w:t>
      </w:r>
      <w:r>
        <w:rPr>
          <w:rFonts w:ascii="Times New Roman" w:hAnsi="Times New Roman" w:eastAsia="仿宋" w:cs="Times New Roman"/>
          <w:sz w:val="32"/>
          <w:szCs w:val="32"/>
        </w:rPr>
        <w:t>5-10%</w:t>
      </w:r>
      <w:r>
        <w:rPr>
          <w:rFonts w:ascii="Times New Roman" w:hAnsi="仿宋" w:eastAsia="仿宋" w:cs="Times New Roman"/>
          <w:sz w:val="32"/>
          <w:szCs w:val="32"/>
        </w:rPr>
        <w:t>收取。</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涉及财产关系的风险代理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律师事务所与当事人约定风险代理收费的，可以按照固定的金额收费，也可以接照当事人最终实现的债权或者减免的债务金额</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以下简称</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标的额</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的一定比例收费。律师事务所在风险代理各个环节收取的律师服务费合计最高金额应当符合下列规定：</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标的额不足人民币</w:t>
      </w:r>
      <w:r>
        <w:rPr>
          <w:rFonts w:ascii="Times New Roman" w:hAnsi="Times New Roman" w:eastAsia="仿宋" w:cs="Times New Roman"/>
          <w:sz w:val="32"/>
          <w:szCs w:val="32"/>
          <w:shd w:val="clear" w:color="auto" w:fill="FFFFFF"/>
        </w:rPr>
        <w:t>100</w:t>
      </w:r>
      <w:r>
        <w:rPr>
          <w:rFonts w:ascii="Times New Roman" w:hAnsi="仿宋" w:eastAsia="仿宋" w:cs="Times New Roman"/>
          <w:sz w:val="32"/>
          <w:szCs w:val="32"/>
          <w:shd w:val="clear" w:color="auto" w:fill="FFFFFF"/>
        </w:rPr>
        <w:t>万元的部分</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不得超过标的额的</w:t>
      </w:r>
      <w:r>
        <w:rPr>
          <w:rFonts w:ascii="Times New Roman" w:hAnsi="Times New Roman" w:eastAsia="仿宋" w:cs="Times New Roman"/>
          <w:sz w:val="32"/>
          <w:szCs w:val="32"/>
          <w:shd w:val="clear" w:color="auto" w:fill="FFFFFF"/>
        </w:rPr>
        <w:t>18%</w:t>
      </w:r>
      <w:r>
        <w:rPr>
          <w:rFonts w:ascii="Times New Roman" w:hAnsi="仿宋" w:eastAsia="仿宋" w:cs="Times New Roman"/>
          <w:sz w:val="32"/>
          <w:szCs w:val="32"/>
          <w:shd w:val="clear" w:color="auto" w:fill="FFFFFF"/>
        </w:rPr>
        <w:t>，不得低于标的额的</w:t>
      </w:r>
      <w:r>
        <w:rPr>
          <w:rFonts w:ascii="Times New Roman" w:hAnsi="Times New Roman" w:eastAsia="仿宋" w:cs="Times New Roman"/>
          <w:sz w:val="32"/>
          <w:szCs w:val="32"/>
          <w:shd w:val="clear" w:color="auto" w:fill="FFFFFF"/>
        </w:rPr>
        <w:t>10%;</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标的额在人民币</w:t>
      </w:r>
      <w:r>
        <w:rPr>
          <w:rFonts w:ascii="Times New Roman" w:hAnsi="Times New Roman" w:eastAsia="仿宋" w:cs="Times New Roman"/>
          <w:sz w:val="32"/>
          <w:szCs w:val="32"/>
          <w:shd w:val="clear" w:color="auto" w:fill="FFFFFF"/>
        </w:rPr>
        <w:t>100</w:t>
      </w:r>
      <w:r>
        <w:rPr>
          <w:rFonts w:ascii="Times New Roman" w:hAnsi="仿宋" w:eastAsia="仿宋" w:cs="Times New Roman"/>
          <w:sz w:val="32"/>
          <w:szCs w:val="32"/>
          <w:shd w:val="clear" w:color="auto" w:fill="FFFFFF"/>
        </w:rPr>
        <w:t>万元以上不足</w:t>
      </w:r>
      <w:r>
        <w:rPr>
          <w:rFonts w:ascii="Times New Roman" w:hAnsi="Times New Roman" w:eastAsia="仿宋" w:cs="Times New Roman"/>
          <w:sz w:val="32"/>
          <w:szCs w:val="32"/>
          <w:shd w:val="clear" w:color="auto" w:fill="FFFFFF"/>
        </w:rPr>
        <w:t>500</w:t>
      </w:r>
      <w:r>
        <w:rPr>
          <w:rFonts w:ascii="Times New Roman" w:hAnsi="仿宋" w:eastAsia="仿宋" w:cs="Times New Roman"/>
          <w:sz w:val="32"/>
          <w:szCs w:val="32"/>
          <w:shd w:val="clear" w:color="auto" w:fill="FFFFFF"/>
        </w:rPr>
        <w:t>万元的部分</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不得超过标的额的</w:t>
      </w:r>
      <w:r>
        <w:rPr>
          <w:rFonts w:ascii="Times New Roman" w:hAnsi="Times New Roman" w:eastAsia="仿宋" w:cs="Times New Roman"/>
          <w:sz w:val="32"/>
          <w:szCs w:val="32"/>
          <w:shd w:val="clear" w:color="auto" w:fill="FFFFFF"/>
        </w:rPr>
        <w:t>15%</w:t>
      </w:r>
      <w:r>
        <w:rPr>
          <w:rFonts w:ascii="Times New Roman" w:hAnsi="仿宋" w:eastAsia="仿宋" w:cs="Times New Roman"/>
          <w:sz w:val="32"/>
          <w:szCs w:val="32"/>
          <w:shd w:val="clear" w:color="auto" w:fill="FFFFFF"/>
        </w:rPr>
        <w:t>不得低于标的额的</w:t>
      </w:r>
      <w:r>
        <w:rPr>
          <w:rFonts w:ascii="Times New Roman" w:hAnsi="Times New Roman" w:eastAsia="仿宋" w:cs="Times New Roman"/>
          <w:sz w:val="32"/>
          <w:szCs w:val="32"/>
          <w:shd w:val="clear" w:color="auto" w:fill="FFFFFF"/>
        </w:rPr>
        <w:t>7%;</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标的额在人民币</w:t>
      </w:r>
      <w:r>
        <w:rPr>
          <w:rFonts w:ascii="Times New Roman" w:hAnsi="Times New Roman" w:eastAsia="仿宋" w:cs="Times New Roman"/>
          <w:sz w:val="32"/>
          <w:szCs w:val="32"/>
          <w:shd w:val="clear" w:color="auto" w:fill="FFFFFF"/>
        </w:rPr>
        <w:t>500</w:t>
      </w:r>
      <w:r>
        <w:rPr>
          <w:rFonts w:ascii="Times New Roman" w:hAnsi="仿宋" w:eastAsia="仿宋" w:cs="Times New Roman"/>
          <w:sz w:val="32"/>
          <w:szCs w:val="32"/>
          <w:shd w:val="clear" w:color="auto" w:fill="FFFFFF"/>
        </w:rPr>
        <w:t>万元以上不足</w:t>
      </w:r>
      <w:r>
        <w:rPr>
          <w:rFonts w:ascii="Times New Roman" w:hAnsi="Times New Roman" w:eastAsia="仿宋" w:cs="Times New Roman"/>
          <w:sz w:val="32"/>
          <w:szCs w:val="32"/>
          <w:shd w:val="clear" w:color="auto" w:fill="FFFFFF"/>
        </w:rPr>
        <w:t>1000</w:t>
      </w:r>
      <w:r>
        <w:rPr>
          <w:rFonts w:ascii="Times New Roman" w:hAnsi="仿宋" w:eastAsia="仿宋" w:cs="Times New Roman"/>
          <w:sz w:val="32"/>
          <w:szCs w:val="32"/>
          <w:shd w:val="clear" w:color="auto" w:fill="FFFFFF"/>
        </w:rPr>
        <w:t>万元的部分</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不得超过标的额的</w:t>
      </w:r>
      <w:r>
        <w:rPr>
          <w:rFonts w:ascii="Times New Roman" w:hAnsi="Times New Roman" w:eastAsia="仿宋" w:cs="Times New Roman"/>
          <w:sz w:val="32"/>
          <w:szCs w:val="32"/>
          <w:shd w:val="clear" w:color="auto" w:fill="FFFFFF"/>
        </w:rPr>
        <w:t>12%</w:t>
      </w:r>
      <w:r>
        <w:rPr>
          <w:rFonts w:ascii="Times New Roman" w:hAnsi="仿宋" w:eastAsia="仿宋" w:cs="Times New Roman"/>
          <w:sz w:val="32"/>
          <w:szCs w:val="32"/>
          <w:shd w:val="clear" w:color="auto" w:fill="FFFFFF"/>
        </w:rPr>
        <w:t>，不得低于标的额的</w:t>
      </w:r>
      <w:r>
        <w:rPr>
          <w:rFonts w:ascii="Times New Roman" w:hAnsi="Times New Roman" w:eastAsia="仿宋" w:cs="Times New Roman"/>
          <w:sz w:val="32"/>
          <w:szCs w:val="32"/>
          <w:shd w:val="clear" w:color="auto" w:fill="FFFFFF"/>
        </w:rPr>
        <w:t>4%;</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标的额在人民币</w:t>
      </w:r>
      <w:r>
        <w:rPr>
          <w:rFonts w:ascii="Times New Roman" w:hAnsi="Times New Roman" w:eastAsia="仿宋" w:cs="Times New Roman"/>
          <w:sz w:val="32"/>
          <w:szCs w:val="32"/>
          <w:shd w:val="clear" w:color="auto" w:fill="FFFFFF"/>
        </w:rPr>
        <w:t>1000</w:t>
      </w:r>
      <w:r>
        <w:rPr>
          <w:rFonts w:ascii="Times New Roman" w:hAnsi="仿宋" w:eastAsia="仿宋" w:cs="Times New Roman"/>
          <w:sz w:val="32"/>
          <w:szCs w:val="32"/>
          <w:shd w:val="clear" w:color="auto" w:fill="FFFFFF"/>
        </w:rPr>
        <w:t>万元以上不足</w:t>
      </w:r>
      <w:r>
        <w:rPr>
          <w:rFonts w:ascii="Times New Roman" w:hAnsi="Times New Roman" w:eastAsia="仿宋" w:cs="Times New Roman"/>
          <w:sz w:val="32"/>
          <w:szCs w:val="32"/>
          <w:shd w:val="clear" w:color="auto" w:fill="FFFFFF"/>
        </w:rPr>
        <w:t>5000</w:t>
      </w:r>
      <w:r>
        <w:rPr>
          <w:rFonts w:ascii="Times New Roman" w:hAnsi="仿宋" w:eastAsia="仿宋" w:cs="Times New Roman"/>
          <w:sz w:val="32"/>
          <w:szCs w:val="32"/>
          <w:shd w:val="clear" w:color="auto" w:fill="FFFFFF"/>
        </w:rPr>
        <w:t>万元的部分</w:t>
      </w:r>
      <w:r>
        <w:rPr>
          <w:rFonts w:ascii="Times New Roman" w:hAnsi="Times New Roman" w:eastAsia="仿宋" w:cs="Times New Roman"/>
          <w:sz w:val="32"/>
          <w:szCs w:val="32"/>
          <w:shd w:val="clear" w:color="auto" w:fill="FFFFFF"/>
        </w:rPr>
        <w:t>,</w:t>
      </w:r>
      <w:r>
        <w:rPr>
          <w:rFonts w:ascii="Times New Roman" w:hAnsi="仿宋" w:eastAsia="仿宋" w:cs="Times New Roman"/>
          <w:sz w:val="32"/>
          <w:szCs w:val="32"/>
          <w:shd w:val="clear" w:color="auto" w:fill="FFFFFF"/>
        </w:rPr>
        <w:t>不得超过标的额的</w:t>
      </w:r>
      <w:r>
        <w:rPr>
          <w:rFonts w:ascii="Times New Roman" w:hAnsi="Times New Roman" w:eastAsia="仿宋" w:cs="Times New Roman"/>
          <w:sz w:val="32"/>
          <w:szCs w:val="32"/>
          <w:shd w:val="clear" w:color="auto" w:fill="FFFFFF"/>
        </w:rPr>
        <w:t>9%</w:t>
      </w:r>
      <w:r>
        <w:rPr>
          <w:rFonts w:ascii="Times New Roman" w:hAnsi="仿宋" w:eastAsia="仿宋" w:cs="Times New Roman"/>
          <w:sz w:val="32"/>
          <w:szCs w:val="32"/>
          <w:shd w:val="clear" w:color="auto" w:fill="FFFFFF"/>
        </w:rPr>
        <w:t>，不得低于标的额的</w:t>
      </w:r>
      <w:r>
        <w:rPr>
          <w:rFonts w:ascii="Times New Roman" w:hAnsi="Times New Roman" w:eastAsia="仿宋" w:cs="Times New Roman"/>
          <w:sz w:val="32"/>
          <w:szCs w:val="32"/>
          <w:shd w:val="clear" w:color="auto" w:fill="FFFFFF"/>
        </w:rPr>
        <w:t>2%;</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shd w:val="clear" w:color="auto" w:fill="FFFFFF"/>
        </w:rPr>
        <w:t>标的额在人民币</w:t>
      </w:r>
      <w:r>
        <w:rPr>
          <w:rFonts w:ascii="Times New Roman" w:hAnsi="Times New Roman" w:eastAsia="仿宋" w:cs="Times New Roman"/>
          <w:sz w:val="32"/>
          <w:szCs w:val="32"/>
          <w:shd w:val="clear" w:color="auto" w:fill="FFFFFF"/>
        </w:rPr>
        <w:t>5000</w:t>
      </w:r>
      <w:r>
        <w:rPr>
          <w:rFonts w:ascii="Times New Roman" w:hAnsi="仿宋" w:eastAsia="仿宋" w:cs="Times New Roman"/>
          <w:sz w:val="32"/>
          <w:szCs w:val="32"/>
          <w:shd w:val="clear" w:color="auto" w:fill="FFFFFF"/>
        </w:rPr>
        <w:t>万元以上的部分</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不得超过标的额的</w:t>
      </w:r>
      <w:r>
        <w:rPr>
          <w:rFonts w:ascii="Times New Roman" w:hAnsi="Times New Roman" w:eastAsia="仿宋" w:cs="Times New Roman"/>
          <w:sz w:val="32"/>
          <w:szCs w:val="32"/>
          <w:shd w:val="clear" w:color="auto" w:fill="FFFFFF"/>
        </w:rPr>
        <w:t>6%</w:t>
      </w:r>
      <w:r>
        <w:rPr>
          <w:rFonts w:ascii="Times New Roman" w:hAnsi="仿宋" w:eastAsia="仿宋" w:cs="Times New Roman"/>
          <w:sz w:val="32"/>
          <w:szCs w:val="32"/>
          <w:shd w:val="clear" w:color="auto" w:fill="FFFFFF"/>
        </w:rPr>
        <w:t>，不得低于标的额的</w:t>
      </w:r>
      <w:r>
        <w:rPr>
          <w:rFonts w:ascii="Times New Roman" w:hAnsi="Times New Roman" w:eastAsia="仿宋" w:cs="Times New Roman"/>
          <w:sz w:val="32"/>
          <w:szCs w:val="32"/>
          <w:shd w:val="clear" w:color="auto" w:fill="FFFFFF"/>
        </w:rPr>
        <w:t>1%</w:t>
      </w:r>
      <w:r>
        <w:rPr>
          <w:rFonts w:ascii="Times New Roman" w:hAnsi="仿宋" w:eastAsia="仿宋" w:cs="Times New Roman"/>
          <w:sz w:val="32"/>
          <w:szCs w:val="32"/>
          <w:shd w:val="clear" w:color="auto" w:fill="FFFFFF"/>
        </w:rPr>
        <w:t>。</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shd w:val="clear" w:color="auto" w:fill="FFFFFF"/>
        </w:rPr>
        <w:t>第十三条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禁止刑事诉讼案件、行政诉讼案件、国家赔偿案件、群体性诉讼案件、婚姻继承案件</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以及请求给予社会保险待遇、最低生活保障待遇、赡养费、抚养费、扶养费、抚恤金、救济金、工伤赔偿、劳动报酬的案件实行或者变相实行风险代理。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担任国家机关、各类企事业单位、组织、个人常年法律顾问按年度收费：</w:t>
      </w:r>
      <w:r>
        <w:rPr>
          <w:rFonts w:ascii="Times New Roman" w:hAnsi="Times New Roman" w:eastAsia="仿宋" w:cs="Times New Roman"/>
          <w:sz w:val="32"/>
          <w:szCs w:val="32"/>
        </w:rPr>
        <w:t>10000</w:t>
      </w:r>
      <w:r>
        <w:rPr>
          <w:rFonts w:ascii="Times New Roman" w:hAnsi="仿宋" w:eastAsia="仿宋" w:cs="Times New Roman"/>
          <w:sz w:val="32"/>
          <w:szCs w:val="32"/>
        </w:rPr>
        <w:t>元以上，</w:t>
      </w:r>
      <w:r>
        <w:rPr>
          <w:rFonts w:ascii="Times New Roman" w:hAnsi="Times New Roman" w:eastAsia="仿宋" w:cs="Times New Roman"/>
          <w:sz w:val="32"/>
          <w:szCs w:val="32"/>
        </w:rPr>
        <w:t>3000000</w:t>
      </w:r>
      <w:r>
        <w:rPr>
          <w:rFonts w:ascii="Times New Roman" w:hAnsi="仿宋" w:eastAsia="仿宋" w:cs="Times New Roman"/>
          <w:sz w:val="32"/>
          <w:szCs w:val="32"/>
        </w:rPr>
        <w:t>元以下。</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前述收费标准，除另有指明外，均指诉讼案件一审阶段的收费标准。单独代理二审、</w:t>
      </w:r>
      <w:r>
        <w:fldChar w:fldCharType="begin"/>
      </w:r>
      <w:r>
        <w:instrText xml:space="preserve"> HYPERLINK "https://www.66law.cn/topic2010/zgysxfh/" \t "https://www.66law.cn/laws/_blank" \o "死刑复核" </w:instrText>
      </w:r>
      <w:r>
        <w:fldChar w:fldCharType="separate"/>
      </w:r>
      <w:r>
        <w:rPr>
          <w:rStyle w:val="11"/>
          <w:rFonts w:ascii="Times New Roman" w:hAnsi="仿宋" w:eastAsia="仿宋" w:cs="Times New Roman"/>
          <w:color w:val="auto"/>
          <w:sz w:val="32"/>
          <w:szCs w:val="32"/>
        </w:rPr>
        <w:t>死刑复核</w:t>
      </w:r>
      <w:r>
        <w:rPr>
          <w:rStyle w:val="11"/>
          <w:rFonts w:ascii="Times New Roman" w:hAnsi="仿宋" w:eastAsia="仿宋" w:cs="Times New Roman"/>
          <w:color w:val="auto"/>
          <w:sz w:val="32"/>
          <w:szCs w:val="32"/>
        </w:rPr>
        <w:fldChar w:fldCharType="end"/>
      </w:r>
      <w:r>
        <w:rPr>
          <w:rFonts w:ascii="Times New Roman" w:hAnsi="仿宋" w:eastAsia="仿宋" w:cs="Times New Roman"/>
          <w:sz w:val="32"/>
          <w:szCs w:val="32"/>
        </w:rPr>
        <w:t>、再审、执行案件的，按照一审阶段收费标准执行。曾代理前一阶段的，后一阶段可以比照前一阶段的收费降低收费，最低不得低于</w:t>
      </w:r>
      <w:r>
        <w:rPr>
          <w:rFonts w:ascii="Times New Roman" w:hAnsi="Times New Roman" w:eastAsia="仿宋" w:cs="Times New Roman"/>
          <w:sz w:val="32"/>
          <w:szCs w:val="32"/>
        </w:rPr>
        <w:t>50%</w:t>
      </w:r>
      <w:r>
        <w:rPr>
          <w:rFonts w:ascii="Times New Roman" w:hAnsi="仿宋" w:eastAsia="仿宋" w:cs="Times New Roman"/>
          <w:sz w:val="32"/>
          <w:szCs w:val="32"/>
        </w:rPr>
        <w:t>。</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其他各类非诉法律事务或专项法律顾问事务、法律意见书、尽职调查、法律培训、合法性审查、法律风险性评估或论证等，按件收取，每件</w:t>
      </w:r>
      <w:r>
        <w:rPr>
          <w:rFonts w:ascii="Times New Roman" w:hAnsi="Times New Roman" w:eastAsia="仿宋" w:cs="Times New Roman"/>
          <w:sz w:val="32"/>
          <w:szCs w:val="32"/>
        </w:rPr>
        <w:t>5000</w:t>
      </w:r>
      <w:r>
        <w:rPr>
          <w:rFonts w:ascii="Times New Roman" w:hAnsi="仿宋" w:eastAsia="仿宋" w:cs="Times New Roman"/>
          <w:sz w:val="32"/>
          <w:szCs w:val="32"/>
        </w:rPr>
        <w:t>元以上，</w:t>
      </w:r>
      <w:r>
        <w:rPr>
          <w:rFonts w:ascii="Times New Roman" w:hAnsi="Times New Roman" w:eastAsia="仿宋" w:cs="Times New Roman"/>
          <w:sz w:val="32"/>
          <w:szCs w:val="32"/>
        </w:rPr>
        <w:t>1000000</w:t>
      </w:r>
      <w:r>
        <w:rPr>
          <w:rFonts w:ascii="Times New Roman" w:hAnsi="仿宋" w:eastAsia="仿宋" w:cs="Times New Roman"/>
          <w:sz w:val="32"/>
          <w:szCs w:val="32"/>
        </w:rPr>
        <w:t>元以下。</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代书、起草、审查修改合同或者其他法律文书、律师函、律师见证、代为声明、参加谈判、会议、主持调解等，可按件收取，每件</w:t>
      </w:r>
      <w:r>
        <w:rPr>
          <w:rFonts w:ascii="Times New Roman" w:hAnsi="Times New Roman" w:eastAsia="仿宋" w:cs="Times New Roman"/>
          <w:sz w:val="32"/>
          <w:szCs w:val="32"/>
        </w:rPr>
        <w:t>2000-100000</w:t>
      </w:r>
      <w:r>
        <w:rPr>
          <w:rFonts w:ascii="Times New Roman" w:hAnsi="仿宋" w:eastAsia="仿宋" w:cs="Times New Roman"/>
          <w:sz w:val="32"/>
          <w:szCs w:val="32"/>
        </w:rPr>
        <w:t>元。</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咨询案件，采取计时收费，计时收费标准为</w:t>
      </w:r>
      <w:r>
        <w:rPr>
          <w:rFonts w:ascii="Times New Roman" w:hAnsi="Times New Roman" w:eastAsia="仿宋" w:cs="Times New Roman"/>
          <w:sz w:val="32"/>
          <w:szCs w:val="32"/>
        </w:rPr>
        <w:t>200</w:t>
      </w:r>
      <w:r>
        <w:rPr>
          <w:rFonts w:ascii="Times New Roman" w:hAnsi="仿宋" w:eastAsia="仿宋" w:cs="Times New Roman"/>
          <w:sz w:val="32"/>
          <w:szCs w:val="32"/>
        </w:rPr>
        <w:t>元</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小时，不足一小时的按一小时计算。</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b/>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收费说明</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（一）刑事案件的犯罪嫌疑人、被告人同时涉及数个</w:t>
      </w:r>
      <w:r>
        <w:fldChar w:fldCharType="begin"/>
      </w:r>
      <w:r>
        <w:instrText xml:space="preserve"> HYPERLINK "https://www.66law.cn/zuiming/" \t "https://www.66law.cn/laws/_blank" \o "罪名" </w:instrText>
      </w:r>
      <w:r>
        <w:fldChar w:fldCharType="separate"/>
      </w:r>
      <w:r>
        <w:rPr>
          <w:rStyle w:val="11"/>
          <w:rFonts w:ascii="Times New Roman" w:hAnsi="仿宋" w:eastAsia="仿宋" w:cs="Times New Roman"/>
          <w:color w:val="auto"/>
          <w:sz w:val="32"/>
          <w:szCs w:val="32"/>
        </w:rPr>
        <w:t>罪名</w:t>
      </w:r>
      <w:r>
        <w:rPr>
          <w:rStyle w:val="11"/>
          <w:rFonts w:ascii="Times New Roman" w:hAnsi="仿宋" w:eastAsia="仿宋" w:cs="Times New Roman"/>
          <w:color w:val="auto"/>
          <w:sz w:val="32"/>
          <w:szCs w:val="32"/>
        </w:rPr>
        <w:fldChar w:fldCharType="end"/>
      </w:r>
      <w:r>
        <w:rPr>
          <w:rFonts w:ascii="Times New Roman" w:hAnsi="仿宋" w:eastAsia="仿宋" w:cs="Times New Roman"/>
          <w:sz w:val="32"/>
          <w:szCs w:val="32"/>
        </w:rPr>
        <w:t>或数起犯罪事实，可按照所涉罪名或犯罪事实分别计件收费。</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（二）案件可采取计时收费，计时收费标准为</w:t>
      </w:r>
      <w:r>
        <w:rPr>
          <w:rFonts w:ascii="Times New Roman" w:hAnsi="Times New Roman" w:eastAsia="仿宋" w:cs="Times New Roman"/>
          <w:sz w:val="32"/>
          <w:szCs w:val="32"/>
        </w:rPr>
        <w:t>500-3000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小时。</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（三）办理异地、重大、疑难、复杂、社会影响较大的刑事诉讼案件，可以在上述收费标准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倍之内（含</w:t>
      </w:r>
      <w:r>
        <w:rPr>
          <w:rFonts w:ascii="Times New Roman" w:hAnsi="Times New Roman" w:eastAsia="仿宋" w:cs="Times New Roman"/>
          <w:sz w:val="32"/>
          <w:szCs w:val="32"/>
        </w:rPr>
        <w:t>6</w:t>
      </w:r>
      <w:r>
        <w:rPr>
          <w:rFonts w:ascii="Times New Roman" w:hAnsi="仿宋" w:eastAsia="仿宋" w:cs="Times New Roman"/>
          <w:sz w:val="32"/>
          <w:szCs w:val="32"/>
        </w:rPr>
        <w:t>倍）协商确定收费标准。</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（四）涉外（含港、澳、台）案件的收费标准，原则上按照本收费标准上浮</w:t>
      </w:r>
      <w:r>
        <w:rPr>
          <w:rFonts w:ascii="Times New Roman" w:hAnsi="Times New Roman" w:eastAsia="仿宋" w:cs="Times New Roman"/>
          <w:sz w:val="32"/>
          <w:szCs w:val="32"/>
        </w:rPr>
        <w:t>200%</w:t>
      </w:r>
      <w:r>
        <w:rPr>
          <w:rFonts w:ascii="Times New Roman" w:hAnsi="仿宋" w:eastAsia="仿宋" w:cs="Times New Roman"/>
          <w:sz w:val="32"/>
          <w:szCs w:val="32"/>
        </w:rPr>
        <w:t>执行。经委托人同意，也可以由本所参照外国或港、澳、台地区律师事务所驻我国代表机构办理同类法律事务的收费标准，与委托人协商确定收费数额。</w:t>
      </w:r>
    </w:p>
    <w:p>
      <w:pPr>
        <w:pStyle w:val="6"/>
        <w:spacing w:before="0" w:beforeAutospacing="0" w:after="0" w:afterAutospacing="0" w:line="520" w:lineRule="exact"/>
        <w:ind w:firstLine="560"/>
        <w:rPr>
          <w:rFonts w:ascii="Times New Roman" w:hAnsi="Times New Roman" w:eastAsia="仿宋" w:cs="Times New Roman"/>
          <w:sz w:val="32"/>
          <w:szCs w:val="32"/>
        </w:rPr>
      </w:pPr>
      <w:r>
        <w:rPr>
          <w:rFonts w:ascii="Times New Roman" w:hAnsi="仿宋" w:eastAsia="仿宋" w:cs="Times New Roman"/>
          <w:sz w:val="32"/>
          <w:szCs w:val="32"/>
        </w:rPr>
        <w:t>（五）其他收费方式和收费金额根据委托事项的实际情况，由律师与委托人协商一致，由律师事务所与委托人在律师服务收费合同或在委托人代理合同中确定，但不得违法国家、省相关文件的规定。</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b/>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刑事案件分为侦查阶段、审查起诉阶段、一审、二审、申请再审阶段、申诉阶段等诉讼程序。</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b/>
          <w:sz w:val="32"/>
          <w:szCs w:val="32"/>
        </w:rPr>
        <w:t>第二十一条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委托代理合同中载明收费条款。收费合同或收费条款应当包括收费项目、收费标准、收费方式、收费数额或比例、付款时间和结算方式、争议解决方式等内容。</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b/>
          <w:sz w:val="32"/>
          <w:szCs w:val="32"/>
        </w:rPr>
        <w:t>第二十二条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对办理涉及农民工、残疾人等弱势群体或者与公益活动有关的法律服务事项，可以酌情减免律师费。</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b/>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pStyle w:val="6"/>
        <w:spacing w:before="0" w:beforeAutospacing="0" w:after="0" w:afterAutospacing="0" w:line="520" w:lineRule="exact"/>
        <w:ind w:firstLine="562"/>
        <w:jc w:val="both"/>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pStyle w:val="6"/>
        <w:shd w:val="clear" w:color="auto" w:fill="FFFFFF"/>
        <w:spacing w:before="0" w:beforeAutospacing="0" w:after="0" w:afterAutospacing="0" w:line="520" w:lineRule="exact"/>
        <w:ind w:firstLine="643"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第二十四条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本收费标准应当按照相关规定予以备案，并在所内以公开方式公布已备案的律师服务费收费标准，律师事务所全体律师严格遵照执行，并接受社会监督。</w:t>
      </w:r>
    </w:p>
    <w:p>
      <w:pPr>
        <w:pStyle w:val="6"/>
        <w:shd w:val="clear" w:color="auto" w:fill="FFFFFF"/>
        <w:spacing w:before="0" w:beforeAutospacing="0" w:after="0" w:afterAutospacing="0" w:line="520" w:lineRule="exact"/>
        <w:ind w:firstLine="643"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第二十五条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本律师服务收费项目、收费方式、收费标准等由本律师事务所制定并报德阳市律师协会备案，本收费标准按照规定在德阳市律师协会同意备案后生效。</w:t>
      </w:r>
    </w:p>
    <w:p>
      <w:pPr>
        <w:pStyle w:val="6"/>
        <w:shd w:val="clear" w:color="auto" w:fill="FFFFFF"/>
        <w:spacing w:before="0" w:beforeAutospacing="0" w:after="0" w:afterAutospacing="0" w:line="520" w:lineRule="exact"/>
        <w:ind w:firstLine="643" w:firstLineChars="200"/>
        <w:jc w:val="both"/>
        <w:rPr>
          <w:rFonts w:ascii="Times New Roman" w:hAnsi="Times New Roman" w:eastAsia="仿宋" w:cs="Times New Roman"/>
          <w:sz w:val="32"/>
          <w:szCs w:val="32"/>
          <w:shd w:val="clear" w:color="auto" w:fill="FFFFFF"/>
        </w:rPr>
      </w:pPr>
      <w:r>
        <w:rPr>
          <w:rFonts w:ascii="Times New Roman" w:hAnsi="仿宋" w:eastAsia="仿宋" w:cs="Times New Roman"/>
          <w:b/>
          <w:sz w:val="32"/>
          <w:szCs w:val="32"/>
          <w:shd w:val="clear" w:color="auto" w:fill="FFFFFF"/>
        </w:rPr>
        <w:t>第二十六条</w:t>
      </w:r>
      <w:r>
        <w:rPr>
          <w:rFonts w:ascii="Times New Roman" w:hAnsi="Times New Roman" w:eastAsia="仿宋" w:cs="Times New Roman"/>
          <w:sz w:val="32"/>
          <w:szCs w:val="32"/>
          <w:shd w:val="clear" w:color="auto" w:fill="FFFFFF"/>
        </w:rPr>
        <w:t xml:space="preserve"> </w:t>
      </w:r>
      <w:r>
        <w:rPr>
          <w:rFonts w:ascii="Times New Roman" w:hAnsi="仿宋" w:eastAsia="仿宋" w:cs="Times New Roman"/>
          <w:sz w:val="32"/>
          <w:szCs w:val="32"/>
          <w:shd w:val="clear" w:color="auto" w:fill="FFFFFF"/>
        </w:rPr>
        <w:t>本收费标准有效期以德阳律师协会备案确定为准。</w:t>
      </w: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4B1BA6"/>
    <w:multiLevelType w:val="singleLevel"/>
    <w:tmpl w:val="DF4B1BA6"/>
    <w:lvl w:ilvl="0" w:tentative="0">
      <w:start w:val="4"/>
      <w:numFmt w:val="chineseCounting"/>
      <w:suff w:val="space"/>
      <w:lvlText w:val="第%1条"/>
      <w:lvlJc w:val="left"/>
      <w:rPr>
        <w:rFonts w:hint="eastAsia"/>
        <w:b/>
      </w:rPr>
    </w:lvl>
  </w:abstractNum>
  <w:abstractNum w:abstractNumId="1">
    <w:nsid w:val="38C5238C"/>
    <w:multiLevelType w:val="singleLevel"/>
    <w:tmpl w:val="38C5238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0023C"/>
    <w:rsid w:val="00002B4F"/>
    <w:rsid w:val="00060B2C"/>
    <w:rsid w:val="00086D6F"/>
    <w:rsid w:val="000A5223"/>
    <w:rsid w:val="000D3447"/>
    <w:rsid w:val="000E696C"/>
    <w:rsid w:val="00150461"/>
    <w:rsid w:val="00163348"/>
    <w:rsid w:val="001702D6"/>
    <w:rsid w:val="00176683"/>
    <w:rsid w:val="001B2CA9"/>
    <w:rsid w:val="001B2FF3"/>
    <w:rsid w:val="002644D8"/>
    <w:rsid w:val="0026763C"/>
    <w:rsid w:val="00287CA0"/>
    <w:rsid w:val="002A379D"/>
    <w:rsid w:val="002A714E"/>
    <w:rsid w:val="002A728B"/>
    <w:rsid w:val="002B3F3D"/>
    <w:rsid w:val="002B64F3"/>
    <w:rsid w:val="002B66A4"/>
    <w:rsid w:val="002E0982"/>
    <w:rsid w:val="002F185A"/>
    <w:rsid w:val="002F49BF"/>
    <w:rsid w:val="003517FF"/>
    <w:rsid w:val="003B4A86"/>
    <w:rsid w:val="00404C3D"/>
    <w:rsid w:val="004128C2"/>
    <w:rsid w:val="00461A26"/>
    <w:rsid w:val="004C268B"/>
    <w:rsid w:val="004D1463"/>
    <w:rsid w:val="004D1774"/>
    <w:rsid w:val="004D70C4"/>
    <w:rsid w:val="005245C8"/>
    <w:rsid w:val="00557E26"/>
    <w:rsid w:val="00567584"/>
    <w:rsid w:val="005B5C11"/>
    <w:rsid w:val="00632536"/>
    <w:rsid w:val="00677DBB"/>
    <w:rsid w:val="006C311F"/>
    <w:rsid w:val="006C6CD7"/>
    <w:rsid w:val="006D3EAD"/>
    <w:rsid w:val="006D6BB3"/>
    <w:rsid w:val="00751D1A"/>
    <w:rsid w:val="007752D3"/>
    <w:rsid w:val="007B2EEE"/>
    <w:rsid w:val="007D09B9"/>
    <w:rsid w:val="007F1639"/>
    <w:rsid w:val="008542A3"/>
    <w:rsid w:val="00892619"/>
    <w:rsid w:val="008C65AC"/>
    <w:rsid w:val="008E0218"/>
    <w:rsid w:val="00912D78"/>
    <w:rsid w:val="00915DD7"/>
    <w:rsid w:val="009928C2"/>
    <w:rsid w:val="009B0D09"/>
    <w:rsid w:val="009B2BF1"/>
    <w:rsid w:val="009C08AA"/>
    <w:rsid w:val="009F1E81"/>
    <w:rsid w:val="00A40DB8"/>
    <w:rsid w:val="00A5775E"/>
    <w:rsid w:val="00A75AA1"/>
    <w:rsid w:val="00B60636"/>
    <w:rsid w:val="00B718AA"/>
    <w:rsid w:val="00BB26EC"/>
    <w:rsid w:val="00BC7358"/>
    <w:rsid w:val="00BF6BC4"/>
    <w:rsid w:val="00C20858"/>
    <w:rsid w:val="00C31312"/>
    <w:rsid w:val="00C34262"/>
    <w:rsid w:val="00C42A1D"/>
    <w:rsid w:val="00C85EF4"/>
    <w:rsid w:val="00CB26F6"/>
    <w:rsid w:val="00CE1660"/>
    <w:rsid w:val="00D0276C"/>
    <w:rsid w:val="00D23FC9"/>
    <w:rsid w:val="00D246FF"/>
    <w:rsid w:val="00D40349"/>
    <w:rsid w:val="00D75F0F"/>
    <w:rsid w:val="00D94AA5"/>
    <w:rsid w:val="00DC11B8"/>
    <w:rsid w:val="00E02452"/>
    <w:rsid w:val="00E53727"/>
    <w:rsid w:val="00E63A95"/>
    <w:rsid w:val="00E64635"/>
    <w:rsid w:val="00E7708B"/>
    <w:rsid w:val="00EA5D3A"/>
    <w:rsid w:val="00EF32BA"/>
    <w:rsid w:val="00F434FF"/>
    <w:rsid w:val="00F45035"/>
    <w:rsid w:val="00F51DFA"/>
    <w:rsid w:val="00F618B6"/>
    <w:rsid w:val="00F73074"/>
    <w:rsid w:val="00FB0721"/>
    <w:rsid w:val="00FE2E7F"/>
    <w:rsid w:val="396664A7"/>
    <w:rsid w:val="53992205"/>
    <w:rsid w:val="56BA7C62"/>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autoRedefine/>
    <w:qFormat/>
    <w:uiPriority w:val="0"/>
    <w:pPr>
      <w:ind w:left="100" w:leftChars="2500"/>
    </w:pPr>
  </w:style>
  <w:style w:type="paragraph" w:styleId="3">
    <w:name w:val="Balloon Text"/>
    <w:basedOn w:val="1"/>
    <w:link w:val="14"/>
    <w:autoRedefine/>
    <w:qFormat/>
    <w:uiPriority w:val="0"/>
    <w:rPr>
      <w:sz w:val="18"/>
      <w:szCs w:val="18"/>
    </w:rPr>
  </w:style>
  <w:style w:type="paragraph" w:styleId="4">
    <w:name w:val="footer"/>
    <w:basedOn w:val="1"/>
    <w:link w:val="13"/>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autoRedefine/>
    <w:qFormat/>
    <w:uiPriority w:val="0"/>
    <w:rPr>
      <w:color w:val="0000FF"/>
      <w:u w:val="single"/>
    </w:rPr>
  </w:style>
  <w:style w:type="character" w:customStyle="1" w:styleId="12">
    <w:name w:val="页眉 Char"/>
    <w:basedOn w:val="9"/>
    <w:link w:val="5"/>
    <w:uiPriority w:val="0"/>
    <w:rPr>
      <w:kern w:val="2"/>
      <w:sz w:val="18"/>
      <w:szCs w:val="18"/>
    </w:rPr>
  </w:style>
  <w:style w:type="character" w:customStyle="1" w:styleId="13">
    <w:name w:val="页脚 Char"/>
    <w:basedOn w:val="9"/>
    <w:link w:val="4"/>
    <w:uiPriority w:val="0"/>
    <w:rPr>
      <w:kern w:val="2"/>
      <w:sz w:val="18"/>
      <w:szCs w:val="18"/>
    </w:rPr>
  </w:style>
  <w:style w:type="character" w:customStyle="1" w:styleId="14">
    <w:name w:val="批注框文本 Char"/>
    <w:basedOn w:val="9"/>
    <w:link w:val="3"/>
    <w:autoRedefine/>
    <w:qFormat/>
    <w:uiPriority w:val="0"/>
    <w:rPr>
      <w:kern w:val="2"/>
      <w:sz w:val="18"/>
      <w:szCs w:val="18"/>
    </w:rPr>
  </w:style>
  <w:style w:type="character" w:customStyle="1" w:styleId="15">
    <w:name w:val="日期 Char"/>
    <w:basedOn w:val="9"/>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F9C8A4-F411-4D2F-BEFA-1DBB98D559E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585</Words>
  <Characters>3341</Characters>
  <Lines>27</Lines>
  <Paragraphs>7</Paragraphs>
  <TotalTime>636</TotalTime>
  <ScaleCrop>false</ScaleCrop>
  <LinksUpToDate>false</LinksUpToDate>
  <CharactersWithSpaces>3919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2024-09-04T09:14:59Z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