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11</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号）及省上相关规定，本会对四川颂悦律师事务所提交的《四川颂悦律师事务所律师服务收费标准》已审查完毕，相关内容符合相关规定，本会同意备案人的备案申请，该收费标准自备案之日起至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四川颂悦律师事务所律师服务收费标准</w:t>
      </w:r>
    </w:p>
    <w:p>
      <w:pPr>
        <w:pStyle w:val="6"/>
        <w:spacing w:beforeAutospacing="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5</w:t>
      </w:r>
      <w:r>
        <w:rPr>
          <w:rFonts w:ascii="Times New Roman" w:hAnsi="仿宋" w:eastAsia="仿宋" w:cs="Times New Roman"/>
          <w:sz w:val="32"/>
          <w:szCs w:val="32"/>
        </w:rPr>
        <w:t>千元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300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-50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w:t>
      </w:r>
      <w:r>
        <w:rPr>
          <w:rFonts w:ascii="Times New Roman" w:hAnsi="仿宋" w:eastAsia="仿宋" w:cs="Times New Roman"/>
          <w:b/>
          <w:bCs/>
          <w:sz w:val="32"/>
          <w:szCs w:val="32"/>
        </w:rPr>
        <w:t>分段累计收费</w:t>
      </w:r>
      <w:r>
        <w:rPr>
          <w:rFonts w:ascii="Times New Roman" w:hAnsi="仿宋" w:eastAsia="仿宋" w:cs="Times New Roman"/>
          <w:sz w:val="32"/>
          <w:szCs w:val="32"/>
        </w:rPr>
        <w:t>，具体如下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6%-15%</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3%-12%</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2%-10%;</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1%-5%</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20-30%</w:t>
      </w:r>
      <w:r>
        <w:rPr>
          <w:rFonts w:ascii="Times New Roman" w:hAnsi="仿宋" w:eastAsia="仿宋" w:cs="Times New Roman"/>
          <w:sz w:val="32"/>
          <w:szCs w:val="32"/>
        </w:rPr>
        <w:t>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30%-50%</w:t>
      </w:r>
      <w:r>
        <w:rPr>
          <w:rFonts w:ascii="Times New Roman" w:hAnsi="仿宋" w:eastAsia="仿宋" w:cs="Times New Roman"/>
          <w:sz w:val="32"/>
          <w:szCs w:val="32"/>
        </w:rPr>
        <w:t>收费，代理执行案件也可采用风险代理或计时收费，不能采取风险代理的案件除外。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5%-18%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5%-18%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5%-18%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4%-10%</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Autospacing="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10-50%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5</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倍收费，亦可按本收费标准进行风险代理或者计时收费。</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5</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528A2"/>
    <w:rsid w:val="00060B2C"/>
    <w:rsid w:val="00086D6F"/>
    <w:rsid w:val="000A5223"/>
    <w:rsid w:val="000F17D5"/>
    <w:rsid w:val="00150461"/>
    <w:rsid w:val="00163348"/>
    <w:rsid w:val="001702D6"/>
    <w:rsid w:val="00176683"/>
    <w:rsid w:val="001B2CA9"/>
    <w:rsid w:val="002644D8"/>
    <w:rsid w:val="0026763C"/>
    <w:rsid w:val="0027206A"/>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16FE9"/>
    <w:rsid w:val="005245C8"/>
    <w:rsid w:val="00557E26"/>
    <w:rsid w:val="00567584"/>
    <w:rsid w:val="00677DBB"/>
    <w:rsid w:val="006C311F"/>
    <w:rsid w:val="006C6CD7"/>
    <w:rsid w:val="006D6BB3"/>
    <w:rsid w:val="006F2462"/>
    <w:rsid w:val="00751D1A"/>
    <w:rsid w:val="007752D3"/>
    <w:rsid w:val="007B2EEE"/>
    <w:rsid w:val="007D09B9"/>
    <w:rsid w:val="008542A3"/>
    <w:rsid w:val="00892619"/>
    <w:rsid w:val="008926F2"/>
    <w:rsid w:val="008C65AC"/>
    <w:rsid w:val="00912D78"/>
    <w:rsid w:val="00915DD7"/>
    <w:rsid w:val="009928C2"/>
    <w:rsid w:val="009B0D09"/>
    <w:rsid w:val="009B2BF1"/>
    <w:rsid w:val="009C08AA"/>
    <w:rsid w:val="009C23BC"/>
    <w:rsid w:val="00A40DB8"/>
    <w:rsid w:val="00A5775E"/>
    <w:rsid w:val="00A75AA1"/>
    <w:rsid w:val="00AF3D70"/>
    <w:rsid w:val="00B718AA"/>
    <w:rsid w:val="00BB26EC"/>
    <w:rsid w:val="00BF6BC4"/>
    <w:rsid w:val="00C31312"/>
    <w:rsid w:val="00C42A1D"/>
    <w:rsid w:val="00CB26F6"/>
    <w:rsid w:val="00CE1660"/>
    <w:rsid w:val="00D0276C"/>
    <w:rsid w:val="00D23FC9"/>
    <w:rsid w:val="00D246FF"/>
    <w:rsid w:val="00D40349"/>
    <w:rsid w:val="00D611C9"/>
    <w:rsid w:val="00D94AA5"/>
    <w:rsid w:val="00DC11B8"/>
    <w:rsid w:val="00E53727"/>
    <w:rsid w:val="00E64635"/>
    <w:rsid w:val="00E7708B"/>
    <w:rsid w:val="00EA5D3A"/>
    <w:rsid w:val="00EF32BA"/>
    <w:rsid w:val="00F618B6"/>
    <w:rsid w:val="00F73074"/>
    <w:rsid w:val="00FB0721"/>
    <w:rsid w:val="00FE2E7F"/>
    <w:rsid w:val="396664A7"/>
    <w:rsid w:val="53992205"/>
    <w:rsid w:val="5CBF615D"/>
    <w:rsid w:val="5E7CB07C"/>
    <w:rsid w:val="5EFC16D3"/>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760</Words>
  <Characters>4338</Characters>
  <Lines>36</Lines>
  <Paragraphs>10</Paragraphs>
  <TotalTime>481</TotalTime>
  <ScaleCrop>false</ScaleCrop>
  <LinksUpToDate>false</LinksUpToDate>
  <CharactersWithSpaces>5088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2024-09-04T08:47:28Z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