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13</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号）及省上相关规定，本会对四川天啸律师事务所提交的《四川天啸律师事务所律师服务收费标准》已审查完毕，相关内容符合相关规定，本会同意备案人的备案申请，该收费标准自备案之日起至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四川天啸律师事务所律师服务收费标准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第一条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kern w:val="2"/>
          <w:sz w:val="32"/>
          <w:szCs w:val="32"/>
        </w:rPr>
      </w:pPr>
      <w:r>
        <w:rPr>
          <w:rFonts w:ascii="Times New Roman" w:hAnsi="仿宋" w:eastAsia="仿宋" w:cs="Times New Roman"/>
          <w:b/>
          <w:bCs/>
          <w:color w:val="000000"/>
          <w:sz w:val="32"/>
          <w:szCs w:val="32"/>
        </w:rPr>
        <w:t>第三条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律师服务费是</w:t>
      </w:r>
      <w:r>
        <w:rPr>
          <w:rFonts w:ascii="Times New Roman" w:hAnsi="仿宋" w:eastAsia="仿宋" w:cs="Times New Roman"/>
          <w:color w:val="000000"/>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第四条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本所就下列委托事项收取律师服务费</w:t>
      </w:r>
      <w:r>
        <w:rPr>
          <w:rFonts w:ascii="Times New Roman" w:hAnsi="Times New Roman" w:eastAsia="仿宋" w:cs="Times New Roman"/>
          <w:color w:val="000000"/>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kern w:val="2"/>
          <w:sz w:val="32"/>
          <w:szCs w:val="32"/>
        </w:rPr>
      </w:pPr>
      <w:r>
        <w:rPr>
          <w:rFonts w:ascii="Times New Roman" w:hAnsi="仿宋" w:eastAsia="仿宋" w:cs="Times New Roman"/>
          <w:b/>
          <w:bCs/>
          <w:color w:val="000000"/>
          <w:kern w:val="2"/>
          <w:sz w:val="32"/>
          <w:szCs w:val="32"/>
        </w:rPr>
        <w:t>第五条</w:t>
      </w:r>
      <w:r>
        <w:rPr>
          <w:rFonts w:ascii="Times New Roman" w:hAnsi="Times New Roman" w:eastAsia="仿宋" w:cs="Times New Roman"/>
          <w:color w:val="000000"/>
          <w:kern w:val="2"/>
          <w:sz w:val="32"/>
          <w:szCs w:val="32"/>
        </w:rPr>
        <w:t xml:space="preserve"> </w:t>
      </w:r>
      <w:r>
        <w:rPr>
          <w:rFonts w:ascii="Times New Roman" w:hAnsi="仿宋" w:eastAsia="仿宋" w:cs="Times New Roman"/>
          <w:color w:val="000000"/>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kern w:val="2"/>
          <w:sz w:val="32"/>
          <w:szCs w:val="32"/>
        </w:rPr>
      </w:pPr>
      <w:r>
        <w:rPr>
          <w:rFonts w:ascii="Times New Roman" w:hAnsi="仿宋" w:eastAsia="仿宋" w:cs="Times New Roman"/>
          <w:b/>
          <w:bCs/>
          <w:color w:val="000000"/>
          <w:kern w:val="2"/>
          <w:sz w:val="32"/>
          <w:szCs w:val="32"/>
        </w:rPr>
        <w:t>第六条</w:t>
      </w:r>
      <w:r>
        <w:rPr>
          <w:rFonts w:ascii="Times New Roman" w:hAnsi="Times New Roman" w:eastAsia="仿宋" w:cs="Times New Roman"/>
          <w:color w:val="000000"/>
          <w:kern w:val="2"/>
          <w:sz w:val="32"/>
          <w:szCs w:val="32"/>
        </w:rPr>
        <w:t xml:space="preserve"> </w:t>
      </w:r>
      <w:r>
        <w:rPr>
          <w:rFonts w:ascii="Times New Roman" w:hAnsi="仿宋" w:eastAsia="仿宋" w:cs="Times New Roman"/>
          <w:color w:val="000000"/>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color w:val="000000"/>
          <w:kern w:val="2"/>
          <w:sz w:val="32"/>
          <w:szCs w:val="32"/>
        </w:rPr>
        <w:t>3</w:t>
      </w:r>
      <w:r>
        <w:rPr>
          <w:rFonts w:ascii="Times New Roman" w:hAnsi="仿宋" w:eastAsia="仿宋" w:cs="Times New Roman"/>
          <w:color w:val="000000"/>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第七条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律师服务费由律师事务所依约定收取并据实开具律师服务费发票，</w:t>
      </w:r>
      <w:r>
        <w:rPr>
          <w:rFonts w:ascii="Times New Roman" w:hAnsi="仿宋" w:eastAsia="仿宋" w:cs="Times New Roman"/>
          <w:color w:val="000000"/>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color w:val="000000"/>
          <w:sz w:val="32"/>
          <w:szCs w:val="32"/>
        </w:rPr>
      </w:pPr>
      <w:r>
        <w:rPr>
          <w:rFonts w:ascii="Times New Roman" w:hAnsi="黑体" w:eastAsia="黑体" w:cs="Times New Roman"/>
          <w:bCs/>
          <w:color w:val="000000"/>
          <w:sz w:val="32"/>
          <w:szCs w:val="32"/>
        </w:rPr>
        <w:t>第二章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第一节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第八条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第九条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（一）代书、起草、审查修改合同或者其他法律文书、律师函、律师见证、代为声明、参加谈判、会议、主持调解等，可按件收费，每件</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—10</w:t>
      </w:r>
      <w:r>
        <w:rPr>
          <w:rFonts w:ascii="Times New Roman" w:hAnsi="仿宋" w:eastAsia="仿宋" w:cs="Times New Roman"/>
          <w:color w:val="000000"/>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（二）担任国家机关、企事业单位、其他组织以及自然人的常年法律顾问，可按年度计件收费，每年度</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—40</w:t>
      </w:r>
      <w:r>
        <w:rPr>
          <w:rFonts w:ascii="Times New Roman" w:hAnsi="仿宋" w:eastAsia="仿宋" w:cs="Times New Roman"/>
          <w:color w:val="000000"/>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（四）立法调研、起草或者修改法律法规、规范性文件、课题调研、清理规范性文件等，可按件收费，每件</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万</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选择计时收费的，可按每位律师每小时</w:t>
      </w:r>
      <w:r>
        <w:rPr>
          <w:rFonts w:ascii="Times New Roman" w:hAnsi="Times New Roman" w:eastAsia="仿宋" w:cs="Times New Roman"/>
          <w:color w:val="000000"/>
          <w:sz w:val="32"/>
          <w:szCs w:val="32"/>
        </w:rPr>
        <w:t>300</w:t>
      </w:r>
      <w:r>
        <w:rPr>
          <w:rFonts w:ascii="Times New Roman" w:hAnsi="仿宋" w:eastAsia="仿宋" w:cs="Times New Roman"/>
          <w:color w:val="000000"/>
          <w:sz w:val="32"/>
          <w:szCs w:val="32"/>
        </w:rPr>
        <w:t>元至</w:t>
      </w:r>
      <w:r>
        <w:rPr>
          <w:rFonts w:ascii="Times New Roman" w:hAnsi="Times New Roman" w:eastAsia="仿宋" w:cs="Times New Roman"/>
          <w:color w:val="000000"/>
          <w:sz w:val="32"/>
          <w:szCs w:val="32"/>
        </w:rPr>
        <w:t>6,000</w:t>
      </w:r>
      <w:r>
        <w:rPr>
          <w:rFonts w:ascii="Times New Roman" w:hAnsi="仿宋" w:eastAsia="仿宋" w:cs="Times New Roman"/>
          <w:color w:val="000000"/>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color w:val="000000"/>
          <w:kern w:val="2"/>
          <w:sz w:val="32"/>
          <w:szCs w:val="32"/>
        </w:rPr>
      </w:pPr>
      <w:r>
        <w:rPr>
          <w:rFonts w:ascii="Times New Roman" w:hAnsi="仿宋" w:eastAsia="仿宋" w:cs="Times New Roman"/>
          <w:color w:val="000000"/>
          <w:sz w:val="32"/>
          <w:szCs w:val="32"/>
        </w:rPr>
        <w:t>计费工作时间是律师办理委托事项的有效工作时间，</w:t>
      </w:r>
      <w:r>
        <w:rPr>
          <w:rFonts w:ascii="Times New Roman" w:hAnsi="仿宋" w:eastAsia="仿宋" w:cs="Times New Roman"/>
          <w:color w:val="000000"/>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第十一条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不涉及财产关系的法律事项选择按诉讼程序分阶段收费的，每个阶段可以在</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-30</w:t>
      </w:r>
      <w:r>
        <w:rPr>
          <w:rFonts w:ascii="Times New Roman" w:hAnsi="仿宋" w:eastAsia="仿宋" w:cs="Times New Roman"/>
          <w:color w:val="000000"/>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第二节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第十二条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color w:val="000000"/>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万元以下部分收费比例为</w:t>
      </w:r>
      <w:r>
        <w:rPr>
          <w:rFonts w:ascii="Times New Roman" w:hAnsi="Times New Roman" w:eastAsia="仿宋" w:cs="Times New Roman"/>
          <w:color w:val="000000"/>
          <w:sz w:val="32"/>
          <w:szCs w:val="32"/>
        </w:rPr>
        <w:t>6%-9%</w:t>
      </w:r>
      <w:r>
        <w:rPr>
          <w:rFonts w:ascii="Times New Roman" w:hAnsi="仿宋" w:eastAsia="仿宋" w:cs="Times New Roman"/>
          <w:color w:val="000000"/>
          <w:sz w:val="32"/>
          <w:szCs w:val="32"/>
        </w:rPr>
        <w:t>，最低不少于</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万元至</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万元部分为</w:t>
      </w:r>
      <w:r>
        <w:rPr>
          <w:rFonts w:ascii="Times New Roman" w:hAnsi="Times New Roman" w:eastAsia="仿宋" w:cs="Times New Roman"/>
          <w:color w:val="000000"/>
          <w:sz w:val="32"/>
          <w:szCs w:val="32"/>
        </w:rPr>
        <w:t>4%-7%</w:t>
      </w:r>
      <w:r>
        <w:rPr>
          <w:rFonts w:ascii="Times New Roman" w:hAnsi="仿宋" w:eastAsia="仿宋" w:cs="Times New Roman"/>
          <w:color w:val="000000"/>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万元至</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万元部分为</w:t>
      </w:r>
      <w:r>
        <w:rPr>
          <w:rFonts w:ascii="Times New Roman" w:hAnsi="Times New Roman" w:eastAsia="仿宋" w:cs="Times New Roman"/>
          <w:color w:val="000000"/>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万元以上部分，为</w:t>
      </w:r>
      <w:r>
        <w:rPr>
          <w:rFonts w:ascii="Times New Roman" w:hAnsi="Times New Roman" w:eastAsia="仿宋" w:cs="Times New Roman"/>
          <w:color w:val="000000"/>
          <w:sz w:val="32"/>
          <w:szCs w:val="32"/>
        </w:rPr>
        <w:t>1%-3%</w:t>
      </w:r>
      <w:r>
        <w:rPr>
          <w:rFonts w:ascii="Times New Roman" w:hAnsi="仿宋" w:eastAsia="仿宋" w:cs="Times New Roman"/>
          <w:color w:val="000000"/>
          <w:sz w:val="32"/>
          <w:szCs w:val="32"/>
        </w:rPr>
        <w:t>。</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第十三条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w:t>
      </w:r>
      <w:r>
        <w:rPr>
          <w:rFonts w:ascii="Times New Roman" w:hAnsi="仿宋" w:eastAsia="仿宋" w:cs="Times New Roman"/>
          <w:sz w:val="32"/>
          <w:szCs w:val="32"/>
        </w:rPr>
        <w:t>可以给予下浮不超过</w:t>
      </w:r>
      <w:r>
        <w:rPr>
          <w:rFonts w:ascii="Times New Roman" w:hAnsi="Times New Roman" w:eastAsia="仿宋" w:cs="Times New Roman"/>
          <w:sz w:val="32"/>
          <w:szCs w:val="32"/>
        </w:rPr>
        <w:t>20%</w:t>
      </w:r>
      <w:r>
        <w:rPr>
          <w:rFonts w:ascii="Times New Roman" w:hAnsi="仿宋" w:eastAsia="仿宋" w:cs="Times New Roman"/>
          <w:sz w:val="32"/>
          <w:szCs w:val="32"/>
        </w:rPr>
        <w:t>的优惠。</w:t>
      </w:r>
      <w:r>
        <w:rPr>
          <w:rFonts w:ascii="Times New Roman" w:hAnsi="仿宋" w:eastAsia="仿宋" w:cs="Times New Roman"/>
          <w:color w:val="000000"/>
          <w:sz w:val="32"/>
          <w:szCs w:val="32"/>
        </w:rPr>
        <w:t>同时代理本诉、本请求和反诉、反请求案件的，反诉、反请求按标的额以民事诉讼案件一审阶段的收费标准酌减收费，不得低于</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第十五条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单独承办的执行案件，根据执行标的额，按一审阶段标准收费；曾承办一审或二审的案件，可按一审阶段收费标准优惠</w:t>
      </w:r>
      <w:r>
        <w:rPr>
          <w:rFonts w:ascii="Times New Roman" w:hAnsi="Times New Roman" w:eastAsia="仿宋" w:cs="Times New Roman"/>
          <w:color w:val="000000"/>
          <w:sz w:val="32"/>
          <w:szCs w:val="32"/>
        </w:rPr>
        <w:t>10%-30%</w:t>
      </w:r>
      <w:r>
        <w:rPr>
          <w:rFonts w:ascii="Times New Roman" w:hAnsi="仿宋" w:eastAsia="仿宋" w:cs="Times New Roman"/>
          <w:color w:val="000000"/>
          <w:sz w:val="32"/>
          <w:szCs w:val="32"/>
        </w:rPr>
        <w:t>收费，代理执行案件也可采用风险代理或计时收费（不能采取风险代理的案件除外）。</w:t>
      </w:r>
    </w:p>
    <w:p>
      <w:pPr>
        <w:pStyle w:val="6"/>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第三节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第十六条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（一）标的额不足人民币</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8%-18%</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（二）标的额在人民币</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7%-15%</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（三）标的额在人民币</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6%-12%</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（四）标的额在人民币</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5%-9%</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（五）标的额在人民币</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万元以上的部分，按</w:t>
      </w:r>
      <w:r>
        <w:rPr>
          <w:rFonts w:ascii="Times New Roman" w:hAnsi="Times New Roman" w:eastAsia="仿宋" w:cs="Times New Roman"/>
          <w:color w:val="000000"/>
          <w:sz w:val="32"/>
          <w:szCs w:val="32"/>
        </w:rPr>
        <w:t>4%-6%</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color w:val="000000"/>
          <w:kern w:val="2"/>
          <w:sz w:val="32"/>
          <w:szCs w:val="32"/>
        </w:rPr>
      </w:pPr>
      <w:r>
        <w:rPr>
          <w:rFonts w:ascii="Times New Roman" w:hAnsi="仿宋" w:eastAsia="仿宋" w:cs="Times New Roman"/>
          <w:b/>
          <w:bCs/>
          <w:color w:val="000000"/>
          <w:sz w:val="32"/>
          <w:szCs w:val="32"/>
        </w:rPr>
        <w:t>第十七条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在订立风险代理合同过程中，律师或律师事务所应当按相关规定向委托人履行提示义务和告知义务</w:t>
      </w:r>
      <w:r>
        <w:rPr>
          <w:rFonts w:ascii="Times New Roman" w:hAnsi="仿宋" w:eastAsia="仿宋" w:cs="Times New Roman"/>
          <w:color w:val="000000"/>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第四节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第十八条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color w:val="000000"/>
          <w:sz w:val="32"/>
          <w:szCs w:val="32"/>
        </w:rPr>
      </w:pPr>
      <w:r>
        <w:rPr>
          <w:rFonts w:ascii="Times New Roman" w:hAnsi="仿宋" w:eastAsia="仿宋" w:cs="Times New Roman"/>
          <w:color w:val="000000"/>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第十九条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10.</w:t>
      </w: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p>
    <w:p>
      <w:pPr>
        <w:spacing w:line="520" w:lineRule="exact"/>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第二十一条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代理国家赔偿案件可实行计件收费，每件收取</w:t>
      </w:r>
      <w:r>
        <w:rPr>
          <w:rFonts w:ascii="Times New Roman" w:hAnsi="Times New Roman" w:eastAsia="仿宋" w:cs="Times New Roman"/>
          <w:color w:val="000000"/>
          <w:sz w:val="32"/>
          <w:szCs w:val="32"/>
        </w:rPr>
        <w:t>20,000</w:t>
      </w:r>
      <w:r>
        <w:rPr>
          <w:rFonts w:ascii="Times New Roman" w:hAnsi="仿宋" w:eastAsia="仿宋" w:cs="Times New Roman"/>
          <w:color w:val="000000"/>
          <w:sz w:val="32"/>
          <w:szCs w:val="32"/>
        </w:rPr>
        <w:t>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第二十二条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color w:val="000000"/>
          <w:sz w:val="32"/>
          <w:szCs w:val="32"/>
        </w:rPr>
      </w:pPr>
      <w:r>
        <w:rPr>
          <w:rFonts w:ascii="Times New Roman" w:hAnsi="黑体" w:eastAsia="黑体" w:cs="Times New Roman"/>
          <w:bCs/>
          <w:color w:val="000000"/>
          <w:sz w:val="32"/>
          <w:szCs w:val="32"/>
        </w:rPr>
        <w:t>第三章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第二十三条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color w:val="000000"/>
          <w:sz w:val="32"/>
          <w:szCs w:val="32"/>
        </w:rPr>
        <w:t>xx</w:t>
      </w:r>
      <w:r>
        <w:rPr>
          <w:rFonts w:ascii="Times New Roman" w:hAnsi="仿宋" w:eastAsia="仿宋" w:cs="Times New Roman"/>
          <w:color w:val="000000"/>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涉外（含涉港、澳、台）案件的收费标准，原则上按照本收费标准上浮</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执行。如果涉及到多语种法律服务的，可以在标准基础上再上浮不超过</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第二十五条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倍收费。下列案件为重大、疑难、复杂民事诉讼、仲裁案件：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由中级以上人民法院受理一审的案件；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当事人一方人数在</w:t>
      </w:r>
      <w:r>
        <w:rPr>
          <w:rFonts w:ascii="Times New Roman" w:hAnsi="Times New Roman" w:eastAsia="仿宋" w:cs="Times New Roman"/>
          <w:color w:val="000000"/>
          <w:sz w:val="32"/>
          <w:szCs w:val="32"/>
        </w:rPr>
        <w:t xml:space="preserve">3 </w:t>
      </w:r>
      <w:r>
        <w:rPr>
          <w:rFonts w:ascii="Times New Roman" w:hAnsi="仿宋" w:eastAsia="仿宋" w:cs="Times New Roman"/>
          <w:color w:val="000000"/>
          <w:sz w:val="32"/>
          <w:szCs w:val="32"/>
        </w:rPr>
        <w:t>人及</w:t>
      </w:r>
      <w:r>
        <w:rPr>
          <w:rFonts w:ascii="Times New Roman" w:hAnsi="Times New Roman" w:eastAsia="仿宋" w:cs="Times New Roman"/>
          <w:color w:val="000000"/>
          <w:sz w:val="32"/>
          <w:szCs w:val="32"/>
        </w:rPr>
        <w:t xml:space="preserve">3 </w:t>
      </w:r>
      <w:r>
        <w:rPr>
          <w:rFonts w:ascii="Times New Roman" w:hAnsi="仿宋" w:eastAsia="仿宋" w:cs="Times New Roman"/>
          <w:color w:val="000000"/>
          <w:sz w:val="32"/>
          <w:szCs w:val="32"/>
        </w:rPr>
        <w:t>人以上的共同诉讼案件；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(4)</w:t>
      </w:r>
      <w:r>
        <w:rPr>
          <w:rFonts w:ascii="Times New Roman" w:hAnsi="仿宋" w:eastAsia="仿宋" w:cs="Times New Roman"/>
          <w:color w:val="000000"/>
          <w:sz w:val="32"/>
          <w:szCs w:val="32"/>
        </w:rPr>
        <w:t>取证困难的案件；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新类型案件；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涉及两个以上法律关系的案件；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(7)</w:t>
      </w:r>
      <w:r>
        <w:rPr>
          <w:rFonts w:ascii="Times New Roman" w:hAnsi="仿宋" w:eastAsia="仿宋" w:cs="Times New Roman"/>
          <w:color w:val="000000"/>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(8)</w:t>
      </w:r>
      <w:r>
        <w:rPr>
          <w:rFonts w:ascii="Times New Roman" w:hAnsi="仿宋" w:eastAsia="仿宋" w:cs="Times New Roman"/>
          <w:color w:val="000000"/>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第二十六条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代理民事申诉案件，按照代理民事诉讼案件按一审阶段收费标准</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倍收费；重大、疑难、复杂及律师工作量大的民事申诉案件可以上浮不超过</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第二十七条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单独承办执行案件，如执行难度大，执行程序复杂的重大执行案件，按一审阶段收费标准</w:t>
      </w:r>
      <w:r>
        <w:rPr>
          <w:rFonts w:ascii="Times New Roman" w:hAnsi="Times New Roman" w:eastAsia="仿宋" w:cs="Times New Roman"/>
          <w:color w:val="000000"/>
          <w:sz w:val="32"/>
          <w:szCs w:val="32"/>
        </w:rPr>
        <w:t>x</w:t>
      </w:r>
      <w:r>
        <w:rPr>
          <w:rFonts w:ascii="Times New Roman" w:hAnsi="仿宋" w:eastAsia="仿宋" w:cs="Times New Roman"/>
          <w:color w:val="000000"/>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第二十八条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办理异地、重大、疑难、复杂、社会影响较大的刑事诉讼案件，可以在本收费标准中刑事收费标准基础</w:t>
      </w: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倍之内</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含</w:t>
      </w: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倍</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协商确定收费。</w:t>
      </w:r>
    </w:p>
    <w:p>
      <w:pPr>
        <w:spacing w:line="520" w:lineRule="exact"/>
        <w:ind w:firstLine="643" w:firstLineChars="200"/>
        <w:jc w:val="left"/>
        <w:rPr>
          <w:rFonts w:ascii="Times New Roman" w:hAnsi="Times New Roman" w:eastAsia="仿宋" w:cs="Times New Roman"/>
          <w:b/>
          <w:bCs/>
          <w:color w:val="000000"/>
          <w:sz w:val="32"/>
          <w:szCs w:val="32"/>
        </w:rPr>
      </w:pPr>
      <w:r>
        <w:rPr>
          <w:rFonts w:ascii="Times New Roman" w:hAnsi="仿宋" w:eastAsia="仿宋" w:cs="Times New Roman"/>
          <w:b/>
          <w:bCs/>
          <w:color w:val="000000"/>
          <w:sz w:val="32"/>
          <w:szCs w:val="32"/>
        </w:rPr>
        <w:t>第二十九条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color w:val="000000"/>
          <w:kern w:val="0"/>
          <w:sz w:val="32"/>
          <w:szCs w:val="32"/>
        </w:rPr>
        <w:t>50%</w:t>
      </w:r>
      <w:r>
        <w:rPr>
          <w:rFonts w:ascii="Times New Roman" w:hAnsi="仿宋" w:eastAsia="仿宋" w:cs="Times New Roman"/>
          <w:color w:val="000000"/>
          <w:kern w:val="0"/>
          <w:sz w:val="32"/>
          <w:szCs w:val="32"/>
        </w:rPr>
        <w:t>至</w:t>
      </w:r>
      <w:r>
        <w:rPr>
          <w:rFonts w:ascii="Times New Roman" w:hAnsi="Times New Roman" w:eastAsia="仿宋" w:cs="Times New Roman"/>
          <w:color w:val="000000"/>
          <w:kern w:val="0"/>
          <w:sz w:val="32"/>
          <w:szCs w:val="32"/>
        </w:rPr>
        <w:t>3</w:t>
      </w:r>
      <w:r>
        <w:rPr>
          <w:rFonts w:ascii="Times New Roman" w:hAnsi="仿宋" w:eastAsia="仿宋" w:cs="Times New Roman"/>
          <w:color w:val="000000"/>
          <w:kern w:val="0"/>
          <w:sz w:val="32"/>
          <w:szCs w:val="32"/>
        </w:rPr>
        <w:t>倍收费。</w:t>
      </w:r>
    </w:p>
    <w:p>
      <w:pPr>
        <w:widowControl/>
        <w:spacing w:line="520" w:lineRule="exact"/>
        <w:jc w:val="center"/>
        <w:rPr>
          <w:rFonts w:ascii="Times New Roman" w:hAnsi="Times New Roman" w:eastAsia="黑体" w:cs="Times New Roman"/>
          <w:color w:val="000000"/>
          <w:sz w:val="32"/>
          <w:szCs w:val="32"/>
        </w:rPr>
      </w:pPr>
      <w:r>
        <w:rPr>
          <w:rFonts w:ascii="Times New Roman" w:hAnsi="黑体" w:eastAsia="黑体" w:cs="Times New Roman"/>
          <w:bCs/>
          <w:color w:val="000000"/>
          <w:sz w:val="32"/>
          <w:szCs w:val="32"/>
        </w:rPr>
        <w:t>第四章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color w:val="000000"/>
          <w:sz w:val="32"/>
          <w:szCs w:val="32"/>
        </w:rPr>
      </w:pPr>
      <w:r>
        <w:rPr>
          <w:rFonts w:ascii="Times New Roman" w:hAnsi="仿宋" w:eastAsia="仿宋" w:cs="Times New Roman"/>
          <w:b/>
          <w:bCs/>
          <w:color w:val="000000"/>
          <w:sz w:val="32"/>
          <w:szCs w:val="32"/>
        </w:rPr>
        <w:t>第三十条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第三十一条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第三十二条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第三十三条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color w:val="000000"/>
          <w:sz w:val="32"/>
          <w:szCs w:val="32"/>
        </w:rPr>
      </w:pPr>
      <w:r>
        <w:rPr>
          <w:rFonts w:ascii="Times New Roman" w:hAnsi="黑体" w:eastAsia="黑体" w:cs="Times New Roman"/>
          <w:bCs/>
          <w:color w:val="000000"/>
          <w:sz w:val="32"/>
          <w:szCs w:val="32"/>
        </w:rPr>
        <w:t>第五章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附则</w:t>
      </w:r>
    </w:p>
    <w:p>
      <w:pPr>
        <w:widowControl/>
        <w:spacing w:line="520" w:lineRule="exact"/>
        <w:ind w:firstLine="643" w:firstLineChars="200"/>
        <w:jc w:val="left"/>
        <w:rPr>
          <w:rFonts w:ascii="Times New Roman" w:hAnsi="Times New Roman" w:eastAsia="仿宋" w:cs="Times New Roman"/>
          <w:color w:val="000000"/>
          <w:kern w:val="0"/>
          <w:sz w:val="32"/>
          <w:szCs w:val="32"/>
        </w:rPr>
      </w:pPr>
      <w:r>
        <w:rPr>
          <w:rFonts w:ascii="Times New Roman" w:hAnsi="仿宋" w:eastAsia="仿宋" w:cs="Times New Roman"/>
          <w:b/>
          <w:bCs/>
          <w:color w:val="000000"/>
          <w:kern w:val="0"/>
          <w:sz w:val="32"/>
          <w:szCs w:val="32"/>
        </w:rPr>
        <w:t>第三十五条</w:t>
      </w:r>
      <w:r>
        <w:rPr>
          <w:rFonts w:ascii="Times New Roman" w:hAnsi="Times New Roman" w:eastAsia="仿宋" w:cs="Times New Roman"/>
          <w:color w:val="000000"/>
          <w:kern w:val="0"/>
          <w:sz w:val="32"/>
          <w:szCs w:val="32"/>
        </w:rPr>
        <w:t xml:space="preserve"> </w:t>
      </w:r>
      <w:r>
        <w:rPr>
          <w:rFonts w:ascii="Times New Roman" w:hAnsi="仿宋" w:eastAsia="仿宋" w:cs="Times New Roman"/>
          <w:color w:val="000000"/>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color w:val="000000"/>
          <w:kern w:val="0"/>
          <w:sz w:val="32"/>
          <w:szCs w:val="32"/>
        </w:rPr>
        <w:t>第三十六条</w:t>
      </w:r>
      <w:r>
        <w:rPr>
          <w:rFonts w:ascii="Times New Roman" w:hAnsi="Times New Roman" w:eastAsia="仿宋" w:cs="Times New Roman"/>
          <w:color w:val="000000"/>
          <w:kern w:val="0"/>
          <w:sz w:val="32"/>
          <w:szCs w:val="32"/>
        </w:rPr>
        <w:t xml:space="preserve"> </w:t>
      </w:r>
      <w:r>
        <w:rPr>
          <w:rFonts w:ascii="Times New Roman" w:hAnsi="仿宋" w:eastAsia="仿宋" w:cs="Times New Roman"/>
          <w:color w:val="000000"/>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4731F"/>
    <w:rsid w:val="00060B2C"/>
    <w:rsid w:val="00086D6F"/>
    <w:rsid w:val="000A5223"/>
    <w:rsid w:val="00150461"/>
    <w:rsid w:val="00163348"/>
    <w:rsid w:val="001702D6"/>
    <w:rsid w:val="00176683"/>
    <w:rsid w:val="001B2CA9"/>
    <w:rsid w:val="002644D8"/>
    <w:rsid w:val="0026763C"/>
    <w:rsid w:val="00287CA0"/>
    <w:rsid w:val="0029346F"/>
    <w:rsid w:val="002A714E"/>
    <w:rsid w:val="002A728B"/>
    <w:rsid w:val="002B64F3"/>
    <w:rsid w:val="002B66A4"/>
    <w:rsid w:val="002E0982"/>
    <w:rsid w:val="002F49BF"/>
    <w:rsid w:val="003406C2"/>
    <w:rsid w:val="003517FF"/>
    <w:rsid w:val="003B4A86"/>
    <w:rsid w:val="00404C3D"/>
    <w:rsid w:val="004128C2"/>
    <w:rsid w:val="00431B43"/>
    <w:rsid w:val="0049557C"/>
    <w:rsid w:val="004C268B"/>
    <w:rsid w:val="004D1774"/>
    <w:rsid w:val="004D70C4"/>
    <w:rsid w:val="005245C8"/>
    <w:rsid w:val="00557E26"/>
    <w:rsid w:val="00567584"/>
    <w:rsid w:val="00677DBB"/>
    <w:rsid w:val="006C311F"/>
    <w:rsid w:val="006C6CD7"/>
    <w:rsid w:val="006D2106"/>
    <w:rsid w:val="006D6BB3"/>
    <w:rsid w:val="00751D1A"/>
    <w:rsid w:val="007752D3"/>
    <w:rsid w:val="007B2EEE"/>
    <w:rsid w:val="007D09B9"/>
    <w:rsid w:val="008542A3"/>
    <w:rsid w:val="00892619"/>
    <w:rsid w:val="008C65AC"/>
    <w:rsid w:val="008F3723"/>
    <w:rsid w:val="00912D78"/>
    <w:rsid w:val="00915DD7"/>
    <w:rsid w:val="009928C2"/>
    <w:rsid w:val="009B0D09"/>
    <w:rsid w:val="009B2BF1"/>
    <w:rsid w:val="009C07BC"/>
    <w:rsid w:val="009C08AA"/>
    <w:rsid w:val="00A40DB8"/>
    <w:rsid w:val="00A5775E"/>
    <w:rsid w:val="00A75AA1"/>
    <w:rsid w:val="00B718AA"/>
    <w:rsid w:val="00BB26EC"/>
    <w:rsid w:val="00BF6BC4"/>
    <w:rsid w:val="00C31312"/>
    <w:rsid w:val="00C42A1D"/>
    <w:rsid w:val="00CB26F6"/>
    <w:rsid w:val="00CE1660"/>
    <w:rsid w:val="00D0276C"/>
    <w:rsid w:val="00D23FC9"/>
    <w:rsid w:val="00D246FF"/>
    <w:rsid w:val="00D40349"/>
    <w:rsid w:val="00D94AA5"/>
    <w:rsid w:val="00DC11B8"/>
    <w:rsid w:val="00E02884"/>
    <w:rsid w:val="00E53727"/>
    <w:rsid w:val="00E64635"/>
    <w:rsid w:val="00E7708B"/>
    <w:rsid w:val="00EA5D3A"/>
    <w:rsid w:val="00EF32BA"/>
    <w:rsid w:val="00F618B6"/>
    <w:rsid w:val="00F73074"/>
    <w:rsid w:val="00F93C17"/>
    <w:rsid w:val="00FB0721"/>
    <w:rsid w:val="00FE2E7F"/>
    <w:rsid w:val="09481F3F"/>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qFormat/>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autoRedefine/>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761</Words>
  <Characters>4338</Characters>
  <Lines>36</Lines>
  <Paragraphs>10</Paragraphs>
  <TotalTime>480</TotalTime>
  <ScaleCrop>false</ScaleCrop>
  <LinksUpToDate>false</LinksUpToDate>
  <CharactersWithSpaces>5089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2024-09-04T08:44:06Z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