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1800" w:lineRule="exact"/>
        <w:jc w:val="center"/>
        <w:rPr>
          <w:rFonts w:ascii="方正小标宋简体" w:hAnsi="方正小标宋简体" w:eastAsia="方正小标宋简体" w:cs="方正小标宋简体"/>
          <w:color w:val="FF0000"/>
          <w:spacing w:val="100"/>
          <w:sz w:val="96"/>
          <w:szCs w:val="100"/>
        </w:rPr>
      </w:pPr>
      <w:r>
        <w:rPr>
          <w:rFonts w:hint="eastAsia" w:ascii="方正小标宋简体" w:hAnsi="方正小标宋简体" w:eastAsia="方正小标宋简体" w:cs="方正小标宋简体"/>
          <w:color w:val="FF0000"/>
          <w:spacing w:val="100"/>
          <w:sz w:val="96"/>
          <w:szCs w:val="100"/>
        </w:rPr>
        <w:t>德阳市律师协会</w:t>
      </w:r>
    </w:p>
    <w:p>
      <w:pPr>
        <w:spacing w:line="560" w:lineRule="exact"/>
        <w:ind w:right="640" w:firstLine="1600" w:firstLineChars="500"/>
        <w:jc w:val="center"/>
        <w:rPr>
          <w:rFonts w:ascii="仿宋" w:hAnsi="仿宋" w:eastAsia="仿宋" w:cs="方正小标宋简体"/>
          <w:sz w:val="32"/>
          <w:szCs w:val="32"/>
        </w:rPr>
      </w:pPr>
    </w:p>
    <w:p>
      <w:pPr>
        <w:spacing w:line="560" w:lineRule="exact"/>
        <w:ind w:right="640"/>
        <w:jc w:val="center"/>
        <w:rPr>
          <w:rFonts w:ascii="Times New Roman" w:hAnsi="Times New Roman" w:eastAsia="仿宋" w:cs="Times New Roman"/>
          <w:color w:val="FF0000"/>
          <w:spacing w:val="100"/>
          <w:sz w:val="32"/>
          <w:szCs w:val="32"/>
        </w:rPr>
      </w:pPr>
      <w:r>
        <w:rPr>
          <w:rFonts w:hint="eastAsia" w:ascii="仿宋" w:hAnsi="仿宋" w:eastAsia="仿宋" w:cs="方正小标宋简体"/>
          <w:sz w:val="32"/>
          <w:szCs w:val="32"/>
        </w:rPr>
        <w:t xml:space="preserve">      </w:t>
      </w:r>
      <w:r>
        <w:rPr>
          <w:rFonts w:ascii="Times New Roman" w:hAnsi="仿宋" w:eastAsia="仿宋" w:cs="Times New Roman"/>
          <w:sz w:val="32"/>
          <w:szCs w:val="32"/>
        </w:rPr>
        <w:t>德律备〔</w:t>
      </w:r>
      <w:r>
        <w:rPr>
          <w:rFonts w:ascii="Times New Roman" w:hAnsi="Times New Roman" w:eastAsia="仿宋" w:cs="Times New Roman"/>
          <w:sz w:val="32"/>
          <w:szCs w:val="32"/>
        </w:rPr>
        <w:t>2024</w:t>
      </w:r>
      <w:r>
        <w:rPr>
          <w:rFonts w:ascii="Times New Roman" w:hAnsi="仿宋" w:eastAsia="仿宋" w:cs="Times New Roman"/>
          <w:sz w:val="32"/>
          <w:szCs w:val="32"/>
        </w:rPr>
        <w:t>〕</w:t>
      </w:r>
      <w:r>
        <w:rPr>
          <w:rFonts w:ascii="Times New Roman" w:hAnsi="Times New Roman" w:eastAsia="仿宋" w:cs="Times New Roman"/>
          <w:sz w:val="32"/>
          <w:szCs w:val="32"/>
        </w:rPr>
        <w:t>42</w:t>
      </w:r>
      <w:r>
        <w:rPr>
          <w:rFonts w:ascii="Times New Roman" w:hAnsi="仿宋" w:eastAsia="仿宋" w:cs="Times New Roman"/>
          <w:sz w:val="32"/>
          <w:szCs w:val="32"/>
        </w:rPr>
        <w:t>号</w:t>
      </w:r>
    </w:p>
    <w:p>
      <w:pPr>
        <w:spacing w:line="400" w:lineRule="exact"/>
        <w:jc w:val="center"/>
        <w:rPr>
          <w:rFonts w:ascii="Times New Roman" w:hAnsi="Times New Roman" w:eastAsia="方正小标宋简体" w:cs="Times New Roman"/>
          <w:color w:val="FF0000"/>
          <w:spacing w:val="100"/>
          <w:sz w:val="32"/>
          <w:szCs w:val="32"/>
        </w:rPr>
      </w:pPr>
      <w:r>
        <w:rPr>
          <w:rFonts w:ascii="Times New Roman" w:hAnsi="Times New Roman" w:eastAsia="方正小标宋简体" w:cs="Times New Roman"/>
          <w:sz w:val="44"/>
          <w:szCs w:val="44"/>
        </w:rPr>
        <w:pict>
          <v:line id="直接连接符 1" o:spid="_x0000_s1026" o:spt="20" style="position:absolute;left:0pt;margin-left:-36pt;margin-top:10.25pt;height:0pt;width:489.75pt;z-index:251659264;mso-width-relative:page;mso-height-relative:page;"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">
            <v:path arrowok="t"/>
            <v:fill focussize="0,0"/>
            <v:stroke weight="3pt" color="#FF0000" joinstyle="miter"/>
            <v:imagedata o:title=""/>
            <o:lock v:ext="edit"/>
          </v:line>
        </w:pict>
      </w:r>
    </w:p>
    <w:p>
      <w:pPr>
        <w:spacing w:line="560" w:lineRule="exact"/>
        <w:jc w:val="right"/>
        <w:rPr>
          <w:rFonts w:ascii="Times New Roman" w:hAnsi="Times New Roman" w:eastAsia="仿宋_GB2312" w:cs="Times New Roman"/>
          <w:color w:val="FF0000"/>
          <w:spacing w:val="100"/>
          <w:sz w:val="32"/>
          <w:szCs w:val="32"/>
        </w:rPr>
      </w:pPr>
    </w:p>
    <w:p>
      <w:pPr>
        <w:spacing w:line="640" w:lineRule="exact"/>
        <w:jc w:val="center"/>
        <w:rPr>
          <w:rFonts w:ascii="Times New Roman" w:hAnsi="Times New Roman" w:eastAsia="方正小标宋简体" w:cs="Times New Roman"/>
          <w:spacing w:val="40"/>
          <w:sz w:val="44"/>
          <w:szCs w:val="44"/>
        </w:rPr>
      </w:pPr>
      <w:r>
        <w:rPr>
          <w:rFonts w:ascii="Times New Roman" w:hAnsi="方正小标宋简体" w:eastAsia="方正小标宋简体" w:cs="Times New Roman"/>
          <w:spacing w:val="40"/>
          <w:sz w:val="44"/>
          <w:szCs w:val="44"/>
        </w:rPr>
        <w:t>律师服务收费备案公告</w:t>
      </w:r>
    </w:p>
    <w:p>
      <w:pPr>
        <w:spacing w:line="520" w:lineRule="exact"/>
        <w:ind w:right="1120"/>
        <w:rPr>
          <w:rFonts w:ascii="Times New Roman" w:hAnsi="Times New Roman" w:eastAsia="方正小标宋简体" w:cs="Times New Roman"/>
          <w:sz w:val="28"/>
          <w:szCs w:val="28"/>
        </w:rPr>
      </w:pP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根据司法部、国家发展和改革委员会、国家市场监督管理总局《关于进一步规范律师服务收费的意见》的通知（司发通</w:t>
      </w:r>
      <w:r>
        <w:rPr>
          <w:rFonts w:ascii="Times New Roman" w:hAnsi="Times New Roman" w:eastAsia="仿宋" w:cs="Times New Roman"/>
          <w:sz w:val="32"/>
          <w:szCs w:val="32"/>
        </w:rPr>
        <w:t>[2021]87</w:t>
      </w:r>
      <w:r>
        <w:rPr>
          <w:rFonts w:ascii="Times New Roman" w:hAnsi="仿宋" w:eastAsia="仿宋" w:cs="Times New Roman"/>
          <w:sz w:val="32"/>
          <w:szCs w:val="32"/>
        </w:rPr>
        <w:t>号）及省上相关规定，本会对四川世星律师事务所提交的《四川世星律师事务所律师服务收费标准》已审查完毕，相关内容符合相关规定，本会同意备案人的备案申请，该收费标准自备案之日起至</w:t>
      </w:r>
      <w:r>
        <w:rPr>
          <w:rFonts w:ascii="Times New Roman" w:hAnsi="Times New Roman" w:eastAsia="仿宋" w:cs="Times New Roman"/>
          <w:sz w:val="32"/>
          <w:szCs w:val="32"/>
        </w:rPr>
        <w:t>2025</w:t>
      </w:r>
      <w:r>
        <w:rPr>
          <w:rFonts w:ascii="Times New Roman" w:hAnsi="仿宋" w:eastAsia="仿宋" w:cs="Times New Roman"/>
          <w:sz w:val="32"/>
          <w:szCs w:val="32"/>
        </w:rPr>
        <w:t>年</w:t>
      </w:r>
      <w:r>
        <w:rPr>
          <w:rFonts w:ascii="Times New Roman" w:hAnsi="Times New Roman" w:eastAsia="仿宋" w:cs="Times New Roman"/>
          <w:sz w:val="32"/>
          <w:szCs w:val="32"/>
        </w:rPr>
        <w:t>5</w:t>
      </w:r>
      <w:r>
        <w:rPr>
          <w:rFonts w:ascii="Times New Roman" w:hAnsi="仿宋" w:eastAsia="仿宋" w:cs="Times New Roman"/>
          <w:sz w:val="32"/>
          <w:szCs w:val="32"/>
        </w:rPr>
        <w:t>月</w:t>
      </w:r>
      <w:r>
        <w:rPr>
          <w:rFonts w:ascii="Times New Roman" w:hAnsi="Times New Roman" w:eastAsia="仿宋" w:cs="Times New Roman"/>
          <w:sz w:val="32"/>
          <w:szCs w:val="32"/>
        </w:rPr>
        <w:t>1</w:t>
      </w:r>
      <w:r>
        <w:rPr>
          <w:rFonts w:ascii="Times New Roman" w:hAnsi="仿宋" w:eastAsia="仿宋" w:cs="Times New Roman"/>
          <w:sz w:val="32"/>
          <w:szCs w:val="32"/>
        </w:rPr>
        <w:t>日前有效，该公告可在德阳市律师协会官方网站查询，特此公告。</w:t>
      </w:r>
    </w:p>
    <w:p>
      <w:pPr>
        <w:spacing w:line="520" w:lineRule="exact"/>
        <w:ind w:firstLine="640" w:firstLineChars="200"/>
        <w:rPr>
          <w:rFonts w:ascii="Times New Roman" w:hAnsi="Times New Roman" w:eastAsia="仿宋" w:cs="Times New Roman"/>
          <w:sz w:val="32"/>
          <w:szCs w:val="32"/>
        </w:rPr>
      </w:pPr>
    </w:p>
    <w:p>
      <w:pPr>
        <w:spacing w:line="600" w:lineRule="exact"/>
        <w:jc w:val="center"/>
        <w:rPr>
          <w:rFonts w:ascii="Times New Roman" w:hAnsi="Times New Roman" w:eastAsia="宋体" w:cs="Times New Roman"/>
          <w:b/>
          <w:sz w:val="32"/>
          <w:szCs w:val="32"/>
        </w:rPr>
      </w:pPr>
      <w:r>
        <w:rPr>
          <w:rFonts w:ascii="Times New Roman" w:hAnsi="宋体" w:eastAsia="宋体" w:cs="Times New Roman"/>
          <w:b/>
          <w:sz w:val="32"/>
          <w:szCs w:val="32"/>
        </w:rPr>
        <w:t>四川世星律师事务所律师服务收费标准</w:t>
      </w:r>
    </w:p>
    <w:p>
      <w:pPr>
        <w:pStyle w:val="6"/>
        <w:spacing w:beforeAutospacing="0" w:afterAutospacing="0" w:line="56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第一章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收费范围、原则和方式</w:t>
      </w:r>
    </w:p>
    <w:p>
      <w:pPr>
        <w:pStyle w:val="6"/>
        <w:shd w:val="clear" w:color="auto" w:fill="FFFFFF"/>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第一条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根据国家、省相关法律法规及规范性文件规定和要求，并结合本市、本所实际情况制定本收费标准。</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第二条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本收费标准遵循公开公平、平等自愿、诚实信用的基本原则。结合法律事务复杂程度、工作时长、参与人数、执业经验、风险责任、涉诉标的额等情况，根据本收费标准由委托人与律师自愿平等协商，公平合理地确定收费方式和收费金额。</w:t>
      </w:r>
    </w:p>
    <w:p>
      <w:pPr>
        <w:pStyle w:val="6"/>
        <w:spacing w:before="0" w:beforeAutospacing="0" w:after="0" w:afterAutospacing="0" w:line="520" w:lineRule="exact"/>
        <w:ind w:firstLine="643" w:firstLineChars="200"/>
        <w:jc w:val="both"/>
        <w:rPr>
          <w:rFonts w:ascii="Times New Roman" w:hAnsi="Times New Roman" w:eastAsia="仿宋" w:cs="Times New Roman"/>
          <w:kern w:val="2"/>
          <w:sz w:val="32"/>
          <w:szCs w:val="32"/>
        </w:rPr>
      </w:pPr>
      <w:r>
        <w:rPr>
          <w:rFonts w:ascii="Times New Roman" w:hAnsi="仿宋" w:eastAsia="仿宋" w:cs="Times New Roman"/>
          <w:b/>
          <w:bCs/>
          <w:sz w:val="32"/>
          <w:szCs w:val="32"/>
        </w:rPr>
        <w:t>第三条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律师服务费是</w:t>
      </w:r>
      <w:r>
        <w:rPr>
          <w:rFonts w:ascii="Times New Roman" w:hAnsi="仿宋" w:eastAsia="仿宋" w:cs="Times New Roman"/>
          <w:kern w:val="2"/>
          <w:sz w:val="32"/>
          <w:szCs w:val="32"/>
        </w:rPr>
        <w:t>律师事务所接受委托办理法律事务，向委托人收取服务报酬的行为。</w:t>
      </w:r>
    </w:p>
    <w:p>
      <w:pPr>
        <w:pStyle w:val="6"/>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律师办理委托事项过程中发生的诉讼费、仲裁费、鉴定费、公证费、查档费、保全费、翻译费、异地办案差旅费、跨境通讯费、专家论证费等费用，以及律师事务所代委托人支付的其他费用，不属于律师服务费，由委托人另行支付。</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第四条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本所就下列委托事项收取律师服务费</w:t>
      </w:r>
      <w:r>
        <w:rPr>
          <w:rFonts w:ascii="Times New Roman" w:hAnsi="Times New Roman" w:eastAsia="仿宋" w:cs="Times New Roman"/>
          <w:sz w:val="32"/>
          <w:szCs w:val="32"/>
        </w:rPr>
        <w:t>:</w:t>
      </w:r>
    </w:p>
    <w:p>
      <w:pPr>
        <w:pStyle w:val="6"/>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（一）代理各类案件担任代理人、辩护人，起草相关法律文书，开展各类专项法律服务，担任法律顾问，接受法律咨询等法律业务。</w:t>
      </w:r>
    </w:p>
    <w:p>
      <w:pPr>
        <w:pStyle w:val="6"/>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（二）律师从事其它与法律服务及法律培训相关的事务。</w:t>
      </w:r>
    </w:p>
    <w:p>
      <w:pPr>
        <w:pStyle w:val="6"/>
        <w:shd w:val="clear" w:color="auto" w:fill="FFFFFF"/>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第五条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律师服务收费按本收费标准执行，若以后有政府指导价的，按照指导价执行，律师服务费</w:t>
      </w:r>
      <w:r>
        <w:rPr>
          <w:rFonts w:ascii="Times New Roman" w:hAnsi="仿宋" w:eastAsia="仿宋" w:cs="Times New Roman"/>
          <w:kern w:val="2"/>
          <w:sz w:val="32"/>
          <w:szCs w:val="32"/>
        </w:rPr>
        <w:t>可采用计件收费方式、计时收费方式、按标的额比例收费方式或其它收费方式，双方还可以采取风险代理收费方式，但国家有关部门禁止风险代理的案件除外。具体执行的收费方式，由委托人与律师事务所协商确定。</w:t>
      </w:r>
    </w:p>
    <w:p>
      <w:pPr>
        <w:pStyle w:val="6"/>
        <w:shd w:val="clear" w:color="auto" w:fill="FFFFFF"/>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以上收费方式，在同一法律服务办理的不同阶段，可以选择同一种方式，也可以选择不同种方式。</w:t>
      </w:r>
    </w:p>
    <w:p>
      <w:pPr>
        <w:pStyle w:val="6"/>
        <w:shd w:val="clear" w:color="auto" w:fill="FFFFFF"/>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第六条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服务费的收费方式和收费金额，应由律师事务所与委托人签订相应的法律事务委托合同进行约定，律师服务费应由律师事务所统一收取、统一入账，律师个人不得向委托人收取律师服务费。确因交通不便等特殊情况，委托人提出由律师代为收取的，律师应当在代收款项后</w:t>
      </w:r>
      <w:r>
        <w:rPr>
          <w:rFonts w:ascii="Times New Roman" w:hAnsi="Times New Roman" w:eastAsia="仿宋" w:cs="Times New Roman"/>
          <w:sz w:val="32"/>
          <w:szCs w:val="32"/>
        </w:rPr>
        <w:t>3</w:t>
      </w:r>
      <w:r>
        <w:rPr>
          <w:rFonts w:ascii="Times New Roman" w:hAnsi="仿宋" w:eastAsia="仿宋" w:cs="Times New Roman"/>
          <w:sz w:val="32"/>
          <w:szCs w:val="32"/>
        </w:rPr>
        <w:t>个工作日内将律师服务费全额转入律师事务所账户。</w:t>
      </w:r>
    </w:p>
    <w:p>
      <w:pPr>
        <w:pStyle w:val="6"/>
        <w:shd w:val="clear" w:color="auto" w:fill="FFFFFF"/>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除律师服务费、代委托人支付的费用、异地办案差旅费外，不得以任何名义向委托人收取其他费用。</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第七条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律师服务费由律师事务所依约定收取并据实开具律师服务费发票，</w:t>
      </w:r>
      <w:r>
        <w:rPr>
          <w:rFonts w:ascii="Times New Roman" w:hAnsi="仿宋" w:eastAsia="仿宋" w:cs="Times New Roman"/>
          <w:kern w:val="2"/>
          <w:sz w:val="32"/>
          <w:szCs w:val="32"/>
        </w:rPr>
        <w:t>代委托人支付的费用及非包干异地办案差旅费应当提供有效凭证。</w:t>
      </w:r>
    </w:p>
    <w:p>
      <w:pPr>
        <w:pStyle w:val="6"/>
        <w:spacing w:before="0" w:beforeAutospacing="0" w:after="0" w:afterAutospacing="0" w:line="52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第二章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收费标准</w:t>
      </w:r>
    </w:p>
    <w:p>
      <w:pPr>
        <w:pStyle w:val="6"/>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第一节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不涉及财产关系的收费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第八条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不涉及财产利益关系的法律事务，一般可选择计件收费、计时收费或者按不同的诉讼程序分阶段收费的方式收取律师服务费。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第九条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选择计件收费的，原则上按下列标准范围与委托人商定：</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（一）代书、起草、审查修改合同或者其他法律文书、律师函、律师见证、代为声明、参加谈判、会议、主持调解等，可按件收费，每件</w:t>
      </w:r>
      <w:r>
        <w:rPr>
          <w:rFonts w:ascii="Times New Roman" w:hAnsi="Times New Roman" w:eastAsia="仿宋" w:cs="Times New Roman"/>
          <w:sz w:val="32"/>
          <w:szCs w:val="32"/>
        </w:rPr>
        <w:t>5000</w:t>
      </w:r>
      <w:r>
        <w:rPr>
          <w:rFonts w:ascii="Times New Roman" w:hAnsi="仿宋" w:eastAsia="仿宋" w:cs="Times New Roman"/>
          <w:sz w:val="32"/>
          <w:szCs w:val="32"/>
        </w:rPr>
        <w:t>元</w:t>
      </w:r>
      <w:r>
        <w:rPr>
          <w:rFonts w:ascii="Times New Roman" w:hAnsi="Times New Roman" w:eastAsia="仿宋" w:cs="Times New Roman"/>
          <w:sz w:val="32"/>
          <w:szCs w:val="32"/>
        </w:rPr>
        <w:t>—10</w:t>
      </w:r>
      <w:r>
        <w:rPr>
          <w:rFonts w:ascii="Times New Roman" w:hAnsi="仿宋" w:eastAsia="仿宋" w:cs="Times New Roman"/>
          <w:sz w:val="32"/>
          <w:szCs w:val="32"/>
        </w:rPr>
        <w:t>万元。</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（二）担任国家机关、企事业单位、其他组织以及自然人的常年法律顾问，可按年度计件收费，每年度</w:t>
      </w:r>
      <w:r>
        <w:rPr>
          <w:rFonts w:ascii="Times New Roman" w:hAnsi="Times New Roman" w:eastAsia="仿宋" w:cs="Times New Roman"/>
          <w:sz w:val="32"/>
          <w:szCs w:val="32"/>
        </w:rPr>
        <w:t>2</w:t>
      </w:r>
      <w:r>
        <w:rPr>
          <w:rFonts w:ascii="Times New Roman" w:hAnsi="仿宋" w:eastAsia="仿宋" w:cs="Times New Roman"/>
          <w:sz w:val="32"/>
          <w:szCs w:val="32"/>
        </w:rPr>
        <w:t>万元</w:t>
      </w:r>
      <w:r>
        <w:rPr>
          <w:rFonts w:ascii="Times New Roman" w:hAnsi="Times New Roman" w:eastAsia="仿宋" w:cs="Times New Roman"/>
          <w:sz w:val="32"/>
          <w:szCs w:val="32"/>
        </w:rPr>
        <w:t>—50</w:t>
      </w:r>
      <w:r>
        <w:rPr>
          <w:rFonts w:ascii="Times New Roman" w:hAnsi="仿宋" w:eastAsia="仿宋" w:cs="Times New Roman"/>
          <w:sz w:val="32"/>
          <w:szCs w:val="32"/>
        </w:rPr>
        <w:t>万元。</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（三）专项事务法律顾问、法律风险评估或论证、合法性审查、法律意见书、尽职调查、法律培训等，不涉及财产的，可按件收费，每件</w:t>
      </w:r>
      <w:r>
        <w:rPr>
          <w:rFonts w:ascii="Times New Roman" w:hAnsi="Times New Roman" w:eastAsia="仿宋" w:cs="Times New Roman"/>
          <w:sz w:val="32"/>
          <w:szCs w:val="32"/>
        </w:rPr>
        <w:t>2</w:t>
      </w:r>
      <w:r>
        <w:rPr>
          <w:rFonts w:ascii="Times New Roman" w:hAnsi="仿宋" w:eastAsia="仿宋" w:cs="Times New Roman"/>
          <w:sz w:val="32"/>
          <w:szCs w:val="32"/>
        </w:rPr>
        <w:t>万元</w:t>
      </w:r>
      <w:r>
        <w:rPr>
          <w:rFonts w:ascii="Times New Roman" w:hAnsi="Times New Roman" w:eastAsia="仿宋" w:cs="Times New Roman"/>
          <w:sz w:val="32"/>
          <w:szCs w:val="32"/>
        </w:rPr>
        <w:t>—40</w:t>
      </w:r>
      <w:r>
        <w:rPr>
          <w:rFonts w:ascii="Times New Roman" w:hAnsi="仿宋" w:eastAsia="仿宋" w:cs="Times New Roman"/>
          <w:sz w:val="32"/>
          <w:szCs w:val="32"/>
        </w:rPr>
        <w:t>万元。</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（四）立法调研、起草或者修改法律法规、规范性文件、课题调研、清理规范性文件等，可按件收费，每件</w:t>
      </w:r>
      <w:r>
        <w:rPr>
          <w:rFonts w:ascii="Times New Roman" w:hAnsi="Times New Roman" w:eastAsia="仿宋" w:cs="Times New Roman"/>
          <w:sz w:val="32"/>
          <w:szCs w:val="32"/>
        </w:rPr>
        <w:t>10</w:t>
      </w:r>
      <w:r>
        <w:rPr>
          <w:rFonts w:ascii="Times New Roman" w:hAnsi="仿宋" w:eastAsia="仿宋" w:cs="Times New Roman"/>
          <w:sz w:val="32"/>
          <w:szCs w:val="32"/>
        </w:rPr>
        <w:t>万</w:t>
      </w:r>
      <w:r>
        <w:rPr>
          <w:rFonts w:ascii="Times New Roman" w:hAnsi="Times New Roman" w:eastAsia="仿宋" w:cs="Times New Roman"/>
          <w:sz w:val="32"/>
          <w:szCs w:val="32"/>
        </w:rPr>
        <w:t>—50</w:t>
      </w:r>
      <w:r>
        <w:rPr>
          <w:rFonts w:ascii="Times New Roman" w:hAnsi="仿宋" w:eastAsia="仿宋" w:cs="Times New Roman"/>
          <w:sz w:val="32"/>
          <w:szCs w:val="32"/>
        </w:rPr>
        <w:t>万元。</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第十条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选择计时收费的，可按每位律师每小时</w:t>
      </w:r>
      <w:r>
        <w:rPr>
          <w:rFonts w:ascii="Times New Roman" w:hAnsi="Times New Roman" w:eastAsia="仿宋" w:cs="Times New Roman"/>
          <w:sz w:val="32"/>
          <w:szCs w:val="32"/>
        </w:rPr>
        <w:t>500</w:t>
      </w:r>
      <w:r>
        <w:rPr>
          <w:rFonts w:ascii="Times New Roman" w:hAnsi="仿宋" w:eastAsia="仿宋" w:cs="Times New Roman"/>
          <w:sz w:val="32"/>
          <w:szCs w:val="32"/>
        </w:rPr>
        <w:t>元至</w:t>
      </w:r>
      <w:r>
        <w:rPr>
          <w:rFonts w:ascii="Times New Roman" w:hAnsi="Times New Roman" w:eastAsia="仿宋" w:cs="Times New Roman"/>
          <w:sz w:val="32"/>
          <w:szCs w:val="32"/>
        </w:rPr>
        <w:t>6000</w:t>
      </w:r>
      <w:r>
        <w:rPr>
          <w:rFonts w:ascii="Times New Roman" w:hAnsi="仿宋" w:eastAsia="仿宋" w:cs="Times New Roman"/>
          <w:sz w:val="32"/>
          <w:szCs w:val="32"/>
        </w:rPr>
        <w:t>元收取律师服务费。</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计费工作时间是律师办理委托事项的有效工作时间，</w:t>
      </w:r>
      <w:r>
        <w:rPr>
          <w:rFonts w:ascii="Times New Roman" w:hAnsi="仿宋" w:eastAsia="仿宋" w:cs="Times New Roman"/>
          <w:kern w:val="2"/>
          <w:sz w:val="32"/>
          <w:szCs w:val="32"/>
        </w:rPr>
        <w:t>包括律师向委托人了解案情、调查取证、查阅案卷、起草诉讼文书和法律文件、会见被限制人身自由的人员、出庭、参与调解和谈判、商议工作方案、代办各类手续以及办理其他相关委托事项的必要时间。律师办理委托事项的在途时间减半收取费用。</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第十一条</w:t>
      </w:r>
      <w:r>
        <w:rPr>
          <w:rFonts w:ascii="Times New Roman" w:hAnsi="Times New Roman" w:eastAsia="仿宋" w:cs="Times New Roman"/>
          <w:sz w:val="32"/>
          <w:szCs w:val="32"/>
        </w:rPr>
        <w:t xml:space="preserve"> </w:t>
      </w:r>
      <w:r>
        <w:rPr>
          <w:rFonts w:ascii="Times New Roman" w:hAnsi="仿宋" w:eastAsia="仿宋" w:cs="Times New Roman"/>
          <w:sz w:val="32"/>
          <w:szCs w:val="32"/>
        </w:rPr>
        <w:t>不涉及财产关系的法律事项选择按诉讼程序分阶段收费的，每个阶段可以在</w:t>
      </w:r>
      <w:r>
        <w:rPr>
          <w:rFonts w:ascii="Times New Roman" w:hAnsi="Times New Roman" w:eastAsia="仿宋" w:cs="Times New Roman"/>
          <w:sz w:val="32"/>
          <w:szCs w:val="32"/>
        </w:rPr>
        <w:t>1</w:t>
      </w:r>
      <w:r>
        <w:rPr>
          <w:rFonts w:ascii="Times New Roman" w:hAnsi="仿宋" w:eastAsia="仿宋" w:cs="Times New Roman"/>
          <w:sz w:val="32"/>
          <w:szCs w:val="32"/>
        </w:rPr>
        <w:t>万</w:t>
      </w:r>
      <w:r>
        <w:rPr>
          <w:rFonts w:ascii="Times New Roman" w:hAnsi="Times New Roman" w:eastAsia="仿宋" w:cs="Times New Roman"/>
          <w:sz w:val="32"/>
          <w:szCs w:val="32"/>
        </w:rPr>
        <w:t>-30</w:t>
      </w:r>
      <w:r>
        <w:rPr>
          <w:rFonts w:ascii="Times New Roman" w:hAnsi="仿宋" w:eastAsia="仿宋" w:cs="Times New Roman"/>
          <w:sz w:val="32"/>
          <w:szCs w:val="32"/>
        </w:rPr>
        <w:t>万元范围内收取律师服务费。</w:t>
      </w:r>
    </w:p>
    <w:p>
      <w:pPr>
        <w:pStyle w:val="6"/>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第二节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涉及财产关系的固定代理收费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第十二条</w:t>
      </w:r>
      <w:r>
        <w:rPr>
          <w:rFonts w:ascii="Times New Roman" w:hAnsi="Times New Roman" w:eastAsia="仿宋" w:cs="Times New Roman"/>
          <w:sz w:val="32"/>
          <w:szCs w:val="32"/>
        </w:rPr>
        <w:t xml:space="preserve"> </w:t>
      </w:r>
      <w:r>
        <w:rPr>
          <w:rFonts w:ascii="Times New Roman" w:hAnsi="仿宋" w:eastAsia="仿宋" w:cs="Times New Roman"/>
          <w:sz w:val="32"/>
          <w:szCs w:val="32"/>
        </w:rPr>
        <w:t>涉及财产利益关系的法律事务，如系诉讼事务，则在每个独立的诉讼阶段中，可按案件争议标的额金额的一定比例分段累计收费，具体如下</w:t>
      </w:r>
      <w:r>
        <w:rPr>
          <w:rFonts w:ascii="Times New Roman" w:hAnsi="Times New Roman" w:eastAsia="仿宋" w:cs="Times New Roman"/>
          <w:sz w:val="32"/>
          <w:szCs w:val="32"/>
        </w:rPr>
        <w:t>:</w:t>
      </w:r>
    </w:p>
    <w:p>
      <w:pPr>
        <w:pStyle w:val="6"/>
        <w:shd w:val="clear" w:color="auto" w:fill="FFFFFF"/>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w:t>
      </w:r>
      <w:r>
        <w:rPr>
          <w:rFonts w:ascii="Times New Roman" w:hAnsi="Times New Roman" w:eastAsia="仿宋" w:cs="Times New Roman"/>
          <w:sz w:val="32"/>
          <w:szCs w:val="32"/>
        </w:rPr>
        <w:t>100</w:t>
      </w:r>
      <w:r>
        <w:rPr>
          <w:rFonts w:ascii="Times New Roman" w:hAnsi="仿宋" w:eastAsia="仿宋" w:cs="Times New Roman"/>
          <w:sz w:val="32"/>
          <w:szCs w:val="32"/>
        </w:rPr>
        <w:t>万元以下部分收费比例为</w:t>
      </w:r>
      <w:r>
        <w:rPr>
          <w:rFonts w:ascii="Times New Roman" w:hAnsi="Times New Roman" w:eastAsia="仿宋" w:cs="Times New Roman"/>
          <w:sz w:val="32"/>
          <w:szCs w:val="32"/>
        </w:rPr>
        <w:t>6%-9%</w:t>
      </w:r>
      <w:r>
        <w:rPr>
          <w:rFonts w:ascii="Times New Roman" w:hAnsi="仿宋" w:eastAsia="仿宋" w:cs="Times New Roman"/>
          <w:sz w:val="32"/>
          <w:szCs w:val="32"/>
        </w:rPr>
        <w:t>，最低不少于</w:t>
      </w:r>
      <w:r>
        <w:rPr>
          <w:rFonts w:ascii="Times New Roman" w:hAnsi="Times New Roman" w:eastAsia="仿宋" w:cs="Times New Roman"/>
          <w:sz w:val="32"/>
          <w:szCs w:val="32"/>
        </w:rPr>
        <w:t>5000</w:t>
      </w:r>
      <w:r>
        <w:rPr>
          <w:rFonts w:ascii="Times New Roman" w:hAnsi="仿宋" w:eastAsia="仿宋" w:cs="Times New Roman"/>
          <w:sz w:val="32"/>
          <w:szCs w:val="32"/>
        </w:rPr>
        <w:t>元；</w:t>
      </w:r>
    </w:p>
    <w:p>
      <w:pPr>
        <w:pStyle w:val="6"/>
        <w:shd w:val="clear" w:color="auto" w:fill="FFFFFF"/>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w:t>
      </w:r>
      <w:r>
        <w:rPr>
          <w:rFonts w:ascii="Times New Roman" w:hAnsi="Times New Roman" w:eastAsia="仿宋" w:cs="Times New Roman"/>
          <w:sz w:val="32"/>
          <w:szCs w:val="32"/>
        </w:rPr>
        <w:t>100</w:t>
      </w:r>
      <w:r>
        <w:rPr>
          <w:rFonts w:ascii="Times New Roman" w:hAnsi="仿宋" w:eastAsia="仿宋" w:cs="Times New Roman"/>
          <w:sz w:val="32"/>
          <w:szCs w:val="32"/>
        </w:rPr>
        <w:t>万元至</w:t>
      </w:r>
      <w:r>
        <w:rPr>
          <w:rFonts w:ascii="Times New Roman" w:hAnsi="Times New Roman" w:eastAsia="仿宋" w:cs="Times New Roman"/>
          <w:sz w:val="32"/>
          <w:szCs w:val="32"/>
        </w:rPr>
        <w:t>1000</w:t>
      </w:r>
      <w:r>
        <w:rPr>
          <w:rFonts w:ascii="Times New Roman" w:hAnsi="仿宋" w:eastAsia="仿宋" w:cs="Times New Roman"/>
          <w:sz w:val="32"/>
          <w:szCs w:val="32"/>
        </w:rPr>
        <w:t>万元部分为</w:t>
      </w:r>
      <w:r>
        <w:rPr>
          <w:rFonts w:ascii="Times New Roman" w:hAnsi="Times New Roman" w:eastAsia="仿宋" w:cs="Times New Roman"/>
          <w:sz w:val="32"/>
          <w:szCs w:val="32"/>
        </w:rPr>
        <w:t>4%-7%</w:t>
      </w:r>
      <w:r>
        <w:rPr>
          <w:rFonts w:ascii="Times New Roman" w:hAnsi="仿宋" w:eastAsia="仿宋" w:cs="Times New Roman"/>
          <w:sz w:val="32"/>
          <w:szCs w:val="32"/>
        </w:rPr>
        <w:t>；</w:t>
      </w:r>
    </w:p>
    <w:p>
      <w:pPr>
        <w:pStyle w:val="6"/>
        <w:shd w:val="clear" w:color="auto" w:fill="FFFFFF"/>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w:t>
      </w:r>
      <w:r>
        <w:rPr>
          <w:rFonts w:ascii="Times New Roman" w:hAnsi="Times New Roman" w:eastAsia="仿宋" w:cs="Times New Roman"/>
          <w:sz w:val="32"/>
          <w:szCs w:val="32"/>
        </w:rPr>
        <w:t>1000</w:t>
      </w:r>
      <w:r>
        <w:rPr>
          <w:rFonts w:ascii="Times New Roman" w:hAnsi="仿宋" w:eastAsia="仿宋" w:cs="Times New Roman"/>
          <w:sz w:val="32"/>
          <w:szCs w:val="32"/>
        </w:rPr>
        <w:t>万元至</w:t>
      </w:r>
      <w:r>
        <w:rPr>
          <w:rFonts w:ascii="Times New Roman" w:hAnsi="Times New Roman" w:eastAsia="仿宋" w:cs="Times New Roman"/>
          <w:sz w:val="32"/>
          <w:szCs w:val="32"/>
        </w:rPr>
        <w:t>5000</w:t>
      </w:r>
      <w:r>
        <w:rPr>
          <w:rFonts w:ascii="Times New Roman" w:hAnsi="仿宋" w:eastAsia="仿宋" w:cs="Times New Roman"/>
          <w:sz w:val="32"/>
          <w:szCs w:val="32"/>
        </w:rPr>
        <w:t>万元部分为</w:t>
      </w:r>
      <w:r>
        <w:rPr>
          <w:rFonts w:ascii="Times New Roman" w:hAnsi="Times New Roman" w:eastAsia="仿宋" w:cs="Times New Roman"/>
          <w:sz w:val="32"/>
          <w:szCs w:val="32"/>
        </w:rPr>
        <w:t>2%-5%;</w:t>
      </w:r>
    </w:p>
    <w:p>
      <w:pPr>
        <w:pStyle w:val="6"/>
        <w:shd w:val="clear" w:color="auto" w:fill="FFFFFF"/>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w:t>
      </w:r>
      <w:r>
        <w:rPr>
          <w:rFonts w:ascii="Times New Roman" w:hAnsi="Times New Roman" w:eastAsia="仿宋" w:cs="Times New Roman"/>
          <w:sz w:val="32"/>
          <w:szCs w:val="32"/>
        </w:rPr>
        <w:t>5000</w:t>
      </w:r>
      <w:r>
        <w:rPr>
          <w:rFonts w:ascii="Times New Roman" w:hAnsi="仿宋" w:eastAsia="仿宋" w:cs="Times New Roman"/>
          <w:sz w:val="32"/>
          <w:szCs w:val="32"/>
        </w:rPr>
        <w:t>万元以上部分，为</w:t>
      </w:r>
      <w:r>
        <w:rPr>
          <w:rFonts w:ascii="Times New Roman" w:hAnsi="Times New Roman" w:eastAsia="仿宋" w:cs="Times New Roman"/>
          <w:sz w:val="32"/>
          <w:szCs w:val="32"/>
        </w:rPr>
        <w:t>1%-3%</w:t>
      </w:r>
      <w:r>
        <w:rPr>
          <w:rFonts w:ascii="Times New Roman" w:hAnsi="仿宋" w:eastAsia="仿宋" w:cs="Times New Roman"/>
          <w:sz w:val="32"/>
          <w:szCs w:val="32"/>
        </w:rPr>
        <w:t>。</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上述收费标准是诉讼案件单独一个程序的收费标准。</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第十三条</w:t>
      </w:r>
      <w:r>
        <w:rPr>
          <w:rFonts w:ascii="Times New Roman" w:hAnsi="Times New Roman" w:eastAsia="仿宋" w:cs="Times New Roman"/>
          <w:sz w:val="32"/>
          <w:szCs w:val="32"/>
        </w:rPr>
        <w:t xml:space="preserve"> </w:t>
      </w:r>
      <w:r>
        <w:rPr>
          <w:rFonts w:ascii="Times New Roman" w:hAnsi="仿宋" w:eastAsia="仿宋" w:cs="Times New Roman"/>
          <w:sz w:val="32"/>
          <w:szCs w:val="32"/>
        </w:rPr>
        <w:t>投融资、上市、并购、重组、改制、破产、清算、公司设立、公司治理结构设计、股权及债权债务转让等，参照第十二条标准收费。</w:t>
      </w:r>
    </w:p>
    <w:p>
      <w:pPr>
        <w:pStyle w:val="6"/>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第三节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涉及财产关系的风险代理收费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第十四条</w:t>
      </w:r>
      <w:r>
        <w:rPr>
          <w:rFonts w:ascii="Times New Roman" w:hAnsi="Times New Roman" w:eastAsia="仿宋" w:cs="Times New Roman"/>
          <w:sz w:val="32"/>
          <w:szCs w:val="32"/>
        </w:rPr>
        <w:t xml:space="preserve"> </w:t>
      </w:r>
      <w:r>
        <w:rPr>
          <w:rFonts w:ascii="Times New Roman" w:hAnsi="仿宋" w:eastAsia="仿宋" w:cs="Times New Roman"/>
          <w:sz w:val="32"/>
          <w:szCs w:val="32"/>
        </w:rPr>
        <w:t>风险代理各个环节收取的律师服务费合计最高金额应当符合下列标准：</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（一）标的额不足人民币</w:t>
      </w:r>
      <w:r>
        <w:rPr>
          <w:rFonts w:ascii="Times New Roman" w:hAnsi="Times New Roman" w:eastAsia="仿宋" w:cs="Times New Roman"/>
          <w:sz w:val="32"/>
          <w:szCs w:val="32"/>
        </w:rPr>
        <w:t>100</w:t>
      </w:r>
      <w:r>
        <w:rPr>
          <w:rFonts w:ascii="Times New Roman" w:hAnsi="仿宋" w:eastAsia="仿宋" w:cs="Times New Roman"/>
          <w:sz w:val="32"/>
          <w:szCs w:val="32"/>
        </w:rPr>
        <w:t>万元的部分，按</w:t>
      </w:r>
      <w:r>
        <w:rPr>
          <w:rFonts w:ascii="Times New Roman" w:hAnsi="Times New Roman" w:eastAsia="仿宋" w:cs="Times New Roman"/>
          <w:sz w:val="32"/>
          <w:szCs w:val="32"/>
        </w:rPr>
        <w:t>8%-18%</w:t>
      </w:r>
      <w:r>
        <w:rPr>
          <w:rFonts w:ascii="Times New Roman" w:hAnsi="仿宋" w:eastAsia="仿宋" w:cs="Times New Roman"/>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（二）标的额在人民币</w:t>
      </w:r>
      <w:r>
        <w:rPr>
          <w:rFonts w:ascii="Times New Roman" w:hAnsi="Times New Roman" w:eastAsia="仿宋" w:cs="Times New Roman"/>
          <w:sz w:val="32"/>
          <w:szCs w:val="32"/>
        </w:rPr>
        <w:t>100</w:t>
      </w:r>
      <w:r>
        <w:rPr>
          <w:rFonts w:ascii="Times New Roman" w:hAnsi="仿宋" w:eastAsia="仿宋" w:cs="Times New Roman"/>
          <w:sz w:val="32"/>
          <w:szCs w:val="32"/>
        </w:rPr>
        <w:t>万元以上不足</w:t>
      </w:r>
      <w:r>
        <w:rPr>
          <w:rFonts w:ascii="Times New Roman" w:hAnsi="Times New Roman" w:eastAsia="仿宋" w:cs="Times New Roman"/>
          <w:sz w:val="32"/>
          <w:szCs w:val="32"/>
        </w:rPr>
        <w:t>500</w:t>
      </w:r>
      <w:r>
        <w:rPr>
          <w:rFonts w:ascii="Times New Roman" w:hAnsi="仿宋" w:eastAsia="仿宋" w:cs="Times New Roman"/>
          <w:sz w:val="32"/>
          <w:szCs w:val="32"/>
        </w:rPr>
        <w:t>万元的部分，按</w:t>
      </w:r>
      <w:r>
        <w:rPr>
          <w:rFonts w:ascii="Times New Roman" w:hAnsi="Times New Roman" w:eastAsia="仿宋" w:cs="Times New Roman"/>
          <w:sz w:val="32"/>
          <w:szCs w:val="32"/>
        </w:rPr>
        <w:t>7%-15%</w:t>
      </w:r>
      <w:r>
        <w:rPr>
          <w:rFonts w:ascii="Times New Roman" w:hAnsi="仿宋" w:eastAsia="仿宋" w:cs="Times New Roman"/>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（三）标的额在人民币</w:t>
      </w:r>
      <w:r>
        <w:rPr>
          <w:rFonts w:ascii="Times New Roman" w:hAnsi="Times New Roman" w:eastAsia="仿宋" w:cs="Times New Roman"/>
          <w:sz w:val="32"/>
          <w:szCs w:val="32"/>
        </w:rPr>
        <w:t>500</w:t>
      </w:r>
      <w:r>
        <w:rPr>
          <w:rFonts w:ascii="Times New Roman" w:hAnsi="仿宋" w:eastAsia="仿宋" w:cs="Times New Roman"/>
          <w:sz w:val="32"/>
          <w:szCs w:val="32"/>
        </w:rPr>
        <w:t>万元以上不足</w:t>
      </w:r>
      <w:r>
        <w:rPr>
          <w:rFonts w:ascii="Times New Roman" w:hAnsi="Times New Roman" w:eastAsia="仿宋" w:cs="Times New Roman"/>
          <w:sz w:val="32"/>
          <w:szCs w:val="32"/>
        </w:rPr>
        <w:t>1000</w:t>
      </w:r>
      <w:r>
        <w:rPr>
          <w:rFonts w:ascii="Times New Roman" w:hAnsi="仿宋" w:eastAsia="仿宋" w:cs="Times New Roman"/>
          <w:sz w:val="32"/>
          <w:szCs w:val="32"/>
        </w:rPr>
        <w:t>万元的部分，按</w:t>
      </w:r>
      <w:r>
        <w:rPr>
          <w:rFonts w:ascii="Times New Roman" w:hAnsi="Times New Roman" w:eastAsia="仿宋" w:cs="Times New Roman"/>
          <w:sz w:val="32"/>
          <w:szCs w:val="32"/>
        </w:rPr>
        <w:t>6%-12%</w:t>
      </w:r>
      <w:r>
        <w:rPr>
          <w:rFonts w:ascii="Times New Roman" w:hAnsi="仿宋" w:eastAsia="仿宋" w:cs="Times New Roman"/>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（四）标的额在人民币</w:t>
      </w:r>
      <w:r>
        <w:rPr>
          <w:rFonts w:ascii="Times New Roman" w:hAnsi="Times New Roman" w:eastAsia="仿宋" w:cs="Times New Roman"/>
          <w:sz w:val="32"/>
          <w:szCs w:val="32"/>
        </w:rPr>
        <w:t>1000</w:t>
      </w:r>
      <w:r>
        <w:rPr>
          <w:rFonts w:ascii="Times New Roman" w:hAnsi="仿宋" w:eastAsia="仿宋" w:cs="Times New Roman"/>
          <w:sz w:val="32"/>
          <w:szCs w:val="32"/>
        </w:rPr>
        <w:t>万元以上不足</w:t>
      </w:r>
      <w:r>
        <w:rPr>
          <w:rFonts w:ascii="Times New Roman" w:hAnsi="Times New Roman" w:eastAsia="仿宋" w:cs="Times New Roman"/>
          <w:sz w:val="32"/>
          <w:szCs w:val="32"/>
        </w:rPr>
        <w:t>5000</w:t>
      </w:r>
      <w:r>
        <w:rPr>
          <w:rFonts w:ascii="Times New Roman" w:hAnsi="仿宋" w:eastAsia="仿宋" w:cs="Times New Roman"/>
          <w:sz w:val="32"/>
          <w:szCs w:val="32"/>
        </w:rPr>
        <w:t>万元的部分，按</w:t>
      </w:r>
      <w:r>
        <w:rPr>
          <w:rFonts w:ascii="Times New Roman" w:hAnsi="Times New Roman" w:eastAsia="仿宋" w:cs="Times New Roman"/>
          <w:sz w:val="32"/>
          <w:szCs w:val="32"/>
        </w:rPr>
        <w:t>5%-9%</w:t>
      </w:r>
      <w:r>
        <w:rPr>
          <w:rFonts w:ascii="Times New Roman" w:hAnsi="仿宋" w:eastAsia="仿宋" w:cs="Times New Roman"/>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（五）标的额在人民币</w:t>
      </w:r>
      <w:r>
        <w:rPr>
          <w:rFonts w:ascii="Times New Roman" w:hAnsi="Times New Roman" w:eastAsia="仿宋" w:cs="Times New Roman"/>
          <w:sz w:val="32"/>
          <w:szCs w:val="32"/>
        </w:rPr>
        <w:t>5000</w:t>
      </w:r>
      <w:r>
        <w:rPr>
          <w:rFonts w:ascii="Times New Roman" w:hAnsi="仿宋" w:eastAsia="仿宋" w:cs="Times New Roman"/>
          <w:sz w:val="32"/>
          <w:szCs w:val="32"/>
        </w:rPr>
        <w:t>万元以上的部分，按</w:t>
      </w:r>
      <w:r>
        <w:rPr>
          <w:rFonts w:ascii="Times New Roman" w:hAnsi="Times New Roman" w:eastAsia="仿宋" w:cs="Times New Roman"/>
          <w:sz w:val="32"/>
          <w:szCs w:val="32"/>
        </w:rPr>
        <w:t>4%-6%</w:t>
      </w:r>
      <w:r>
        <w:rPr>
          <w:rFonts w:ascii="Times New Roman" w:hAnsi="仿宋" w:eastAsia="仿宋" w:cs="Times New Roman"/>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对于风险收费的法律事务，可以分阶段约定律师的代理或办理目标，并在每阶段目标达到后即按约定收取该阶段的律师服务费。采用风险收费方式的，律师事务所可以要求委托人对其依约应当支付的律师服务费提供相应的担保。</w:t>
      </w:r>
    </w:p>
    <w:p>
      <w:pPr>
        <w:pStyle w:val="6"/>
        <w:spacing w:before="0" w:beforeAutospacing="0" w:after="0" w:afterAutospacing="0" w:line="520" w:lineRule="exact"/>
        <w:ind w:firstLine="643" w:firstLineChars="200"/>
        <w:rPr>
          <w:rFonts w:ascii="Times New Roman" w:hAnsi="Times New Roman" w:eastAsia="仿宋" w:cs="Times New Roman"/>
          <w:kern w:val="2"/>
          <w:sz w:val="32"/>
          <w:szCs w:val="32"/>
        </w:rPr>
      </w:pPr>
      <w:r>
        <w:rPr>
          <w:rFonts w:ascii="Times New Roman" w:hAnsi="仿宋" w:eastAsia="仿宋" w:cs="Times New Roman"/>
          <w:b/>
          <w:bCs/>
          <w:sz w:val="32"/>
          <w:szCs w:val="32"/>
        </w:rPr>
        <w:t>第十五条</w:t>
      </w:r>
      <w:r>
        <w:rPr>
          <w:rFonts w:ascii="Times New Roman" w:hAnsi="Times New Roman" w:eastAsia="仿宋" w:cs="Times New Roman"/>
          <w:sz w:val="32"/>
          <w:szCs w:val="32"/>
        </w:rPr>
        <w:t xml:space="preserve"> </w:t>
      </w:r>
      <w:r>
        <w:rPr>
          <w:rFonts w:ascii="Times New Roman" w:hAnsi="仿宋" w:eastAsia="仿宋" w:cs="Times New Roman"/>
          <w:kern w:val="2"/>
          <w:sz w:val="32"/>
          <w:szCs w:val="32"/>
        </w:rPr>
        <w:t>律师事务所和律师不得滥用专业优势地位，对律师事务所与当事人各自承担的风险责任作出明显不合理的约定，不得在风险代理合同中排除或者限制当事人上诉、撤诉、调解、和解等诉讼权利，或者对当事人行使上述权利设置惩罚性赔偿等不合理的条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在订立风险代理合同过程中，律师或律师事务所应当按相关规定向委托人履行提示义务和告知义务</w:t>
      </w:r>
      <w:r>
        <w:rPr>
          <w:rFonts w:ascii="Times New Roman" w:hAnsi="仿宋" w:eastAsia="仿宋" w:cs="Times New Roman"/>
          <w:kern w:val="2"/>
          <w:sz w:val="32"/>
          <w:szCs w:val="32"/>
        </w:rPr>
        <w:t>。</w:t>
      </w:r>
    </w:p>
    <w:p>
      <w:pPr>
        <w:pStyle w:val="6"/>
        <w:adjustRightInd w:val="0"/>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第四节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不能采取风险代理收费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第十六条</w:t>
      </w:r>
      <w:r>
        <w:rPr>
          <w:rFonts w:ascii="Times New Roman" w:hAnsi="Times New Roman" w:eastAsia="仿宋" w:cs="Times New Roman"/>
          <w:sz w:val="32"/>
          <w:szCs w:val="32"/>
        </w:rPr>
        <w:t xml:space="preserve"> </w:t>
      </w:r>
      <w:r>
        <w:rPr>
          <w:rFonts w:ascii="Times New Roman" w:hAnsi="仿宋" w:eastAsia="仿宋" w:cs="Times New Roman"/>
          <w:sz w:val="32"/>
          <w:szCs w:val="32"/>
        </w:rPr>
        <w:t>下列案件不能采取或变相采取风险代理收费方式：</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（一）刑事诉讼案件；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（二）行政诉讼案件；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（三）国家赔偿案件；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（四）群体性诉讼案件；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（五）婚姻继承案件；</w:t>
      </w:r>
    </w:p>
    <w:p>
      <w:pPr>
        <w:pStyle w:val="6"/>
        <w:spacing w:before="0" w:beforeAutospacing="0" w:after="0" w:afterAutospacing="0" w:line="520" w:lineRule="exact"/>
        <w:ind w:firstLine="640" w:firstLineChars="200"/>
        <w:rPr>
          <w:rFonts w:ascii="Times New Roman" w:hAnsi="Times New Roman" w:eastAsia="仿宋" w:cs="Times New Roman"/>
          <w:b/>
          <w:bCs/>
          <w:sz w:val="32"/>
          <w:szCs w:val="32"/>
        </w:rPr>
      </w:pPr>
      <w:r>
        <w:rPr>
          <w:rFonts w:ascii="Times New Roman" w:hAnsi="仿宋" w:eastAsia="仿宋" w:cs="Times New Roman"/>
          <w:sz w:val="32"/>
          <w:szCs w:val="32"/>
        </w:rPr>
        <w:t>（六）请求给予社会保险待遇、最低生活保障待遇、赡养费、抚养费、扶养费、抚恤金、救济金、工伤赔偿、劳动报酬的案件。</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第十七条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刑事案件包括担任国家公诉案件的辩护人和担任当事人自诉案件的代理人。国家公诉案件可以按刑事诉讼流程进行收费，主要分为侦查阶段、审查起诉阶段、审判阶段、申诉、再审阶段，收费标准采取按一人一罪名执行。</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1.</w:t>
      </w:r>
      <w:r>
        <w:rPr>
          <w:rFonts w:ascii="Times New Roman" w:hAnsi="仿宋" w:eastAsia="仿宋" w:cs="Times New Roman"/>
          <w:sz w:val="32"/>
          <w:szCs w:val="32"/>
        </w:rPr>
        <w:t>侦查阶段：</w:t>
      </w:r>
      <w:r>
        <w:rPr>
          <w:rFonts w:ascii="Times New Roman" w:hAnsi="Times New Roman" w:eastAsia="仿宋" w:cs="Times New Roman"/>
          <w:sz w:val="32"/>
          <w:szCs w:val="32"/>
        </w:rPr>
        <w:t>1</w:t>
      </w:r>
      <w:r>
        <w:rPr>
          <w:rFonts w:ascii="Times New Roman" w:hAnsi="仿宋" w:eastAsia="仿宋" w:cs="Times New Roman"/>
          <w:sz w:val="32"/>
          <w:szCs w:val="32"/>
        </w:rPr>
        <w:t>万元</w:t>
      </w:r>
      <w:r>
        <w:rPr>
          <w:rFonts w:ascii="Times New Roman" w:hAnsi="Times New Roman" w:eastAsia="仿宋" w:cs="Times New Roman"/>
          <w:sz w:val="32"/>
          <w:szCs w:val="32"/>
        </w:rPr>
        <w:t>-3</w:t>
      </w:r>
      <w:r>
        <w:rPr>
          <w:rFonts w:ascii="Times New Roman" w:hAnsi="仿宋" w:eastAsia="仿宋" w:cs="Times New Roman"/>
          <w:sz w:val="32"/>
          <w:szCs w:val="32"/>
        </w:rPr>
        <w:t>万元；</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2.</w:t>
      </w:r>
      <w:r>
        <w:rPr>
          <w:rFonts w:ascii="Times New Roman" w:hAnsi="仿宋" w:eastAsia="仿宋" w:cs="Times New Roman"/>
          <w:sz w:val="32"/>
          <w:szCs w:val="32"/>
        </w:rPr>
        <w:t>审查起诉阶段：</w:t>
      </w:r>
      <w:r>
        <w:rPr>
          <w:rFonts w:ascii="Times New Roman" w:hAnsi="Times New Roman" w:eastAsia="仿宋" w:cs="Times New Roman"/>
          <w:sz w:val="32"/>
          <w:szCs w:val="32"/>
        </w:rPr>
        <w:t>1</w:t>
      </w:r>
      <w:r>
        <w:rPr>
          <w:rFonts w:ascii="Times New Roman" w:hAnsi="仿宋" w:eastAsia="仿宋" w:cs="Times New Roman"/>
          <w:sz w:val="32"/>
          <w:szCs w:val="32"/>
        </w:rPr>
        <w:t>万元</w:t>
      </w:r>
      <w:r>
        <w:rPr>
          <w:rFonts w:ascii="Times New Roman" w:hAnsi="Times New Roman" w:eastAsia="仿宋" w:cs="Times New Roman"/>
          <w:sz w:val="32"/>
          <w:szCs w:val="32"/>
        </w:rPr>
        <w:t>-3</w:t>
      </w:r>
      <w:r>
        <w:rPr>
          <w:rFonts w:ascii="Times New Roman" w:hAnsi="仿宋" w:eastAsia="仿宋" w:cs="Times New Roman"/>
          <w:sz w:val="32"/>
          <w:szCs w:val="32"/>
        </w:rPr>
        <w:t>万元；</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3.</w:t>
      </w:r>
      <w:r>
        <w:rPr>
          <w:rFonts w:ascii="Times New Roman" w:hAnsi="仿宋" w:eastAsia="仿宋" w:cs="Times New Roman"/>
          <w:sz w:val="32"/>
          <w:szCs w:val="32"/>
        </w:rPr>
        <w:t>审判阶段：</w:t>
      </w:r>
      <w:r>
        <w:rPr>
          <w:rFonts w:ascii="Times New Roman" w:hAnsi="Times New Roman" w:eastAsia="仿宋" w:cs="Times New Roman"/>
          <w:sz w:val="32"/>
          <w:szCs w:val="32"/>
        </w:rPr>
        <w:t>2</w:t>
      </w:r>
      <w:r>
        <w:rPr>
          <w:rFonts w:ascii="Times New Roman" w:hAnsi="仿宋" w:eastAsia="仿宋" w:cs="Times New Roman"/>
          <w:sz w:val="32"/>
          <w:szCs w:val="32"/>
        </w:rPr>
        <w:t>万元</w:t>
      </w:r>
      <w:r>
        <w:rPr>
          <w:rFonts w:ascii="Times New Roman" w:hAnsi="Times New Roman" w:eastAsia="仿宋" w:cs="Times New Roman"/>
          <w:sz w:val="32"/>
          <w:szCs w:val="32"/>
        </w:rPr>
        <w:t>-6</w:t>
      </w:r>
      <w:r>
        <w:rPr>
          <w:rFonts w:ascii="Times New Roman" w:hAnsi="仿宋" w:eastAsia="仿宋" w:cs="Times New Roman"/>
          <w:sz w:val="32"/>
          <w:szCs w:val="32"/>
        </w:rPr>
        <w:t>万元；</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4.</w:t>
      </w:r>
      <w:r>
        <w:rPr>
          <w:rFonts w:ascii="Times New Roman" w:hAnsi="仿宋" w:eastAsia="仿宋" w:cs="Times New Roman"/>
          <w:sz w:val="32"/>
          <w:szCs w:val="32"/>
        </w:rPr>
        <w:t>申诉、再审阶段：</w:t>
      </w:r>
      <w:r>
        <w:rPr>
          <w:rFonts w:ascii="Times New Roman" w:hAnsi="Times New Roman" w:eastAsia="仿宋" w:cs="Times New Roman"/>
          <w:sz w:val="32"/>
          <w:szCs w:val="32"/>
        </w:rPr>
        <w:t>3</w:t>
      </w:r>
      <w:r>
        <w:rPr>
          <w:rFonts w:ascii="Times New Roman" w:hAnsi="仿宋" w:eastAsia="仿宋" w:cs="Times New Roman"/>
          <w:sz w:val="32"/>
          <w:szCs w:val="32"/>
        </w:rPr>
        <w:t>万元</w:t>
      </w:r>
      <w:r>
        <w:rPr>
          <w:rFonts w:ascii="Times New Roman" w:hAnsi="Times New Roman" w:eastAsia="仿宋" w:cs="Times New Roman"/>
          <w:sz w:val="32"/>
          <w:szCs w:val="32"/>
        </w:rPr>
        <w:t>-6</w:t>
      </w:r>
      <w:r>
        <w:rPr>
          <w:rFonts w:ascii="Times New Roman" w:hAnsi="仿宋" w:eastAsia="仿宋" w:cs="Times New Roman"/>
          <w:sz w:val="32"/>
          <w:szCs w:val="32"/>
        </w:rPr>
        <w:t>万元。</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对于担任当事人自诉案件的代理人案件进行一次性收费，</w:t>
      </w:r>
      <w:r>
        <w:rPr>
          <w:rFonts w:ascii="Times New Roman" w:hAnsi="Times New Roman" w:eastAsia="仿宋" w:cs="Times New Roman"/>
          <w:sz w:val="32"/>
          <w:szCs w:val="32"/>
        </w:rPr>
        <w:t>3</w:t>
      </w:r>
      <w:r>
        <w:rPr>
          <w:rFonts w:ascii="Times New Roman" w:hAnsi="仿宋" w:eastAsia="仿宋" w:cs="Times New Roman"/>
          <w:sz w:val="32"/>
          <w:szCs w:val="32"/>
        </w:rPr>
        <w:t>万元</w:t>
      </w:r>
      <w:r>
        <w:rPr>
          <w:rFonts w:ascii="Times New Roman" w:hAnsi="Times New Roman" w:eastAsia="仿宋" w:cs="Times New Roman"/>
          <w:sz w:val="32"/>
          <w:szCs w:val="32"/>
        </w:rPr>
        <w:t>-6</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adjustRightInd w:val="0"/>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办理异地、重大、疑难、复杂、社会影响较大的刑事诉讼案件，可以在上述收费标准</w:t>
      </w:r>
      <w:r>
        <w:rPr>
          <w:rFonts w:ascii="Times New Roman" w:hAnsi="Times New Roman" w:eastAsia="仿宋" w:cs="Times New Roman"/>
          <w:sz w:val="32"/>
          <w:szCs w:val="32"/>
        </w:rPr>
        <w:t>6</w:t>
      </w:r>
      <w:r>
        <w:rPr>
          <w:rFonts w:ascii="Times New Roman" w:hAnsi="仿宋" w:eastAsia="仿宋" w:cs="Times New Roman"/>
          <w:sz w:val="32"/>
          <w:szCs w:val="32"/>
        </w:rPr>
        <w:t>倍之内</w:t>
      </w:r>
      <w:r>
        <w:rPr>
          <w:rFonts w:ascii="Times New Roman" w:hAnsi="Times New Roman" w:eastAsia="仿宋" w:cs="Times New Roman"/>
          <w:sz w:val="32"/>
          <w:szCs w:val="32"/>
        </w:rPr>
        <w:t>(</w:t>
      </w:r>
      <w:r>
        <w:rPr>
          <w:rFonts w:ascii="Times New Roman" w:hAnsi="仿宋" w:eastAsia="仿宋" w:cs="Times New Roman"/>
          <w:sz w:val="32"/>
          <w:szCs w:val="32"/>
        </w:rPr>
        <w:t>含</w:t>
      </w:r>
      <w:r>
        <w:rPr>
          <w:rFonts w:ascii="Times New Roman" w:hAnsi="Times New Roman" w:eastAsia="仿宋" w:cs="Times New Roman"/>
          <w:sz w:val="32"/>
          <w:szCs w:val="32"/>
        </w:rPr>
        <w:t>6</w:t>
      </w:r>
      <w:r>
        <w:rPr>
          <w:rFonts w:ascii="Times New Roman" w:hAnsi="仿宋" w:eastAsia="仿宋" w:cs="Times New Roman"/>
          <w:sz w:val="32"/>
          <w:szCs w:val="32"/>
        </w:rPr>
        <w:t>倍</w:t>
      </w:r>
      <w:r>
        <w:rPr>
          <w:rFonts w:ascii="Times New Roman" w:hAnsi="Times New Roman" w:eastAsia="仿宋" w:cs="Times New Roman"/>
          <w:sz w:val="32"/>
          <w:szCs w:val="32"/>
        </w:rPr>
        <w:t>)</w:t>
      </w:r>
      <w:r>
        <w:rPr>
          <w:rFonts w:ascii="Times New Roman" w:hAnsi="仿宋" w:eastAsia="仿宋" w:cs="Times New Roman"/>
          <w:sz w:val="32"/>
          <w:szCs w:val="32"/>
        </w:rPr>
        <w:t>协商确定收费标准。</w:t>
      </w:r>
    </w:p>
    <w:p>
      <w:pPr>
        <w:pStyle w:val="6"/>
        <w:adjustRightInd w:val="0"/>
        <w:spacing w:before="0" w:beforeAutospacing="0" w:after="0" w:afterAutospacing="0" w:line="520" w:lineRule="exact"/>
        <w:ind w:firstLine="643" w:firstLineChars="200"/>
        <w:rPr>
          <w:rFonts w:ascii="Times New Roman" w:hAnsi="Times New Roman" w:eastAsia="仿宋" w:cs="Times New Roman"/>
          <w:b/>
          <w:bCs/>
          <w:sz w:val="32"/>
          <w:szCs w:val="32"/>
        </w:rPr>
      </w:pPr>
      <w:r>
        <w:rPr>
          <w:rFonts w:ascii="Times New Roman" w:hAnsi="仿宋" w:eastAsia="仿宋" w:cs="Times New Roman"/>
          <w:b/>
          <w:bCs/>
          <w:sz w:val="32"/>
          <w:szCs w:val="32"/>
        </w:rPr>
        <w:t>第十八条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不能采取或变相采取风险代理收费的（二）至（六）项参照本章第一节、第二节的内容收费。</w:t>
      </w:r>
    </w:p>
    <w:p>
      <w:pPr>
        <w:widowControl/>
        <w:spacing w:line="52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第三章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其他说明</w:t>
      </w:r>
    </w:p>
    <w:p>
      <w:pPr>
        <w:pStyle w:val="6"/>
        <w:adjustRightInd w:val="0"/>
        <w:spacing w:before="0" w:beforeAutospacing="0" w:after="0" w:afterAutospacing="0" w:line="520" w:lineRule="exact"/>
        <w:ind w:firstLine="643" w:firstLineChars="200"/>
        <w:rPr>
          <w:rFonts w:ascii="Times New Roman" w:hAnsi="Times New Roman" w:eastAsia="仿宋" w:cs="Times New Roman"/>
          <w:b/>
          <w:bCs/>
          <w:sz w:val="32"/>
          <w:szCs w:val="32"/>
        </w:rPr>
      </w:pPr>
      <w:r>
        <w:rPr>
          <w:rFonts w:ascii="Times New Roman" w:hAnsi="仿宋" w:eastAsia="仿宋" w:cs="Times New Roman"/>
          <w:b/>
          <w:bCs/>
          <w:sz w:val="32"/>
          <w:szCs w:val="32"/>
        </w:rPr>
        <w:t>第十九条</w:t>
      </w:r>
      <w:r>
        <w:rPr>
          <w:rFonts w:ascii="Times New Roman" w:hAnsi="Times New Roman" w:eastAsia="仿宋" w:cs="Times New Roman"/>
          <w:sz w:val="32"/>
          <w:szCs w:val="32"/>
        </w:rPr>
        <w:t xml:space="preserve"> </w:t>
      </w:r>
      <w:r>
        <w:rPr>
          <w:rFonts w:ascii="Times New Roman" w:hAnsi="仿宋" w:eastAsia="仿宋" w:cs="Times New Roman"/>
          <w:sz w:val="32"/>
          <w:szCs w:val="32"/>
        </w:rPr>
        <w:t>其他收费方式根据委托事项的实际情况，由律师与委托人协商一致，由律师事务所与委托人在律师服务收费合同或者在委托代理合同中确定，但不得违反国家、省相关文件的规定。</w:t>
      </w:r>
    </w:p>
    <w:p>
      <w:pPr>
        <w:pStyle w:val="6"/>
        <w:shd w:val="clear" w:color="auto" w:fill="FFFFFF"/>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民事诉讼、行政诉讼案件分为一审、二审、执行、申请再审、申请抗诉阶段等诉讼程序。</w:t>
      </w:r>
    </w:p>
    <w:p>
      <w:pPr>
        <w:pStyle w:val="6"/>
        <w:shd w:val="clear" w:color="auto" w:fill="FFFFFF"/>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申请国家赔偿案件分为申请赔偿阶段、申请复议阶段等诉讼程序。</w:t>
      </w:r>
    </w:p>
    <w:p>
      <w:pPr>
        <w:pStyle w:val="6"/>
        <w:shd w:val="clear" w:color="auto" w:fill="FFFFFF"/>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刑事案件分为侦查阶段、审查起诉阶段、一审、二审、申请再审阶段等诉讼程序。</w:t>
      </w:r>
    </w:p>
    <w:p>
      <w:pPr>
        <w:pStyle w:val="6"/>
        <w:shd w:val="clear" w:color="auto" w:fill="FFFFFF"/>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第二十一条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应当充分披露本所律师服务收费标准的相关信息，与委托人签订律师服务收费合同或者委托代理合同中载明收费条款。收费合同或者收费条款应当包括收费项目、收费标准、收费方式、收费数额或比例、付款和结算方式、争议解决方式等内容。</w:t>
      </w:r>
    </w:p>
    <w:p>
      <w:pPr>
        <w:pStyle w:val="6"/>
        <w:shd w:val="clear" w:color="auto" w:fill="FFFFFF"/>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第二十二条</w:t>
      </w:r>
      <w:r>
        <w:rPr>
          <w:rFonts w:ascii="Times New Roman" w:hAnsi="Times New Roman" w:eastAsia="仿宋" w:cs="Times New Roman"/>
          <w:kern w:val="2"/>
          <w:sz w:val="32"/>
          <w:szCs w:val="32"/>
        </w:rPr>
        <w:t xml:space="preserve"> </w:t>
      </w:r>
      <w:r>
        <w:rPr>
          <w:rFonts w:ascii="Times New Roman" w:hAnsi="仿宋" w:eastAsia="仿宋" w:cs="Times New Roman"/>
          <w:kern w:val="2"/>
          <w:sz w:val="32"/>
          <w:szCs w:val="32"/>
        </w:rPr>
        <w:t>对办理涉及农民工、残疾人等弱势群体或者与公益活动有关的法律服务事项，可以酌情减免律师服务费</w:t>
      </w:r>
      <w:r>
        <w:rPr>
          <w:rFonts w:ascii="Times New Roman" w:hAnsi="仿宋" w:eastAsia="仿宋" w:cs="Times New Roman"/>
          <w:sz w:val="32"/>
          <w:szCs w:val="32"/>
        </w:rPr>
        <w:t>。</w:t>
      </w:r>
    </w:p>
    <w:p>
      <w:pPr>
        <w:pStyle w:val="6"/>
        <w:shd w:val="clear" w:color="auto" w:fill="FFFFFF"/>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第二十三条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律师接受指派的法律援助案件，不得向受援人收取任何费用。</w:t>
      </w:r>
    </w:p>
    <w:p>
      <w:pPr>
        <w:pStyle w:val="6"/>
        <w:shd w:val="clear" w:color="auto" w:fill="FFFFFF"/>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律师在办理委托事项过程中，如发现委托人符合法律援助条件的，应告知委托人可以申请法律援助。</w:t>
      </w:r>
    </w:p>
    <w:p>
      <w:pPr>
        <w:widowControl/>
        <w:spacing w:line="52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第二十四条</w:t>
      </w:r>
      <w:r>
        <w:rPr>
          <w:rFonts w:ascii="Times New Roman" w:hAnsi="Times New Roman" w:eastAsia="仿宋" w:cs="Times New Roman"/>
          <w:sz w:val="32"/>
          <w:szCs w:val="32"/>
        </w:rPr>
        <w:t xml:space="preserve"> </w:t>
      </w:r>
      <w:r>
        <w:rPr>
          <w:rFonts w:ascii="Times New Roman" w:hAnsi="仿宋" w:eastAsia="仿宋" w:cs="Times New Roman"/>
          <w:sz w:val="32"/>
          <w:szCs w:val="32"/>
        </w:rPr>
        <w:t>全体律师除前述第二十二条、二十三条涉及案件外，其他案件收费应严格按本收费标准执行，不得以争揽业务为目的，通过减收或免收律师服务费吸引委托人，进行低价的不正当竞争。</w:t>
      </w:r>
    </w:p>
    <w:p>
      <w:pPr>
        <w:pStyle w:val="6"/>
        <w:shd w:val="clear" w:color="auto" w:fill="FFFFFF"/>
        <w:spacing w:before="0" w:beforeAutospacing="0" w:after="0" w:afterAutospacing="0" w:line="52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第四章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附则</w:t>
      </w:r>
    </w:p>
    <w:p>
      <w:pPr>
        <w:widowControl/>
        <w:spacing w:line="520" w:lineRule="exact"/>
        <w:ind w:firstLine="643" w:firstLineChars="200"/>
        <w:jc w:val="left"/>
        <w:rPr>
          <w:rFonts w:ascii="Times New Roman" w:hAnsi="Times New Roman" w:eastAsia="仿宋" w:cs="Times New Roman"/>
          <w:kern w:val="0"/>
          <w:sz w:val="32"/>
          <w:szCs w:val="32"/>
        </w:rPr>
      </w:pPr>
      <w:r>
        <w:rPr>
          <w:rFonts w:ascii="Times New Roman" w:hAnsi="仿宋" w:eastAsia="仿宋" w:cs="Times New Roman"/>
          <w:b/>
          <w:bCs/>
          <w:kern w:val="0"/>
          <w:sz w:val="32"/>
          <w:szCs w:val="32"/>
        </w:rPr>
        <w:t>第二十五条</w:t>
      </w:r>
      <w:r>
        <w:rPr>
          <w:rFonts w:ascii="Times New Roman" w:hAnsi="Times New Roman" w:eastAsia="仿宋" w:cs="Times New Roman"/>
          <w:kern w:val="0"/>
          <w:sz w:val="32"/>
          <w:szCs w:val="32"/>
        </w:rPr>
        <w:t xml:space="preserve"> </w:t>
      </w:r>
      <w:r>
        <w:rPr>
          <w:rFonts w:ascii="Times New Roman" w:hAnsi="仿宋" w:eastAsia="仿宋" w:cs="Times New Roman"/>
          <w:kern w:val="0"/>
          <w:sz w:val="32"/>
          <w:szCs w:val="32"/>
        </w:rPr>
        <w:t>本收费标准应当按照相关规定予以备案，并在所内以公开方式公布已备案的律师服务收费标准，律师事务所全体律师严格遵照执行，并接受社会监督。</w:t>
      </w:r>
    </w:p>
    <w:p>
      <w:pPr>
        <w:widowControl/>
        <w:spacing w:line="520" w:lineRule="exact"/>
        <w:ind w:firstLine="643" w:firstLineChars="200"/>
        <w:jc w:val="left"/>
        <w:rPr>
          <w:rFonts w:ascii="Times New Roman" w:hAnsi="Times New Roman" w:eastAsia="仿宋" w:cs="Times New Roman"/>
          <w:kern w:val="0"/>
          <w:sz w:val="32"/>
          <w:szCs w:val="32"/>
        </w:rPr>
      </w:pPr>
      <w:r>
        <w:rPr>
          <w:rFonts w:ascii="Times New Roman" w:hAnsi="仿宋" w:eastAsia="仿宋" w:cs="Times New Roman"/>
          <w:b/>
          <w:bCs/>
          <w:kern w:val="0"/>
          <w:sz w:val="32"/>
          <w:szCs w:val="32"/>
        </w:rPr>
        <w:t>第二十六条</w:t>
      </w:r>
      <w:r>
        <w:rPr>
          <w:rFonts w:ascii="Times New Roman" w:hAnsi="Times New Roman" w:eastAsia="仿宋" w:cs="Times New Roman"/>
          <w:kern w:val="0"/>
          <w:sz w:val="32"/>
          <w:szCs w:val="32"/>
        </w:rPr>
        <w:t xml:space="preserve"> </w:t>
      </w:r>
      <w:r>
        <w:rPr>
          <w:rFonts w:ascii="Times New Roman" w:hAnsi="仿宋" w:eastAsia="仿宋" w:cs="Times New Roman"/>
          <w:kern w:val="0"/>
          <w:sz w:val="32"/>
          <w:szCs w:val="32"/>
        </w:rPr>
        <w:t>本收费标准按照规定在德阳市律师协会成功备案后生效。</w:t>
      </w:r>
    </w:p>
    <w:p>
      <w:pPr>
        <w:widowControl/>
        <w:spacing w:line="560" w:lineRule="exact"/>
        <w:ind w:firstLine="640" w:firstLineChars="200"/>
        <w:jc w:val="left"/>
        <w:rPr>
          <w:rFonts w:ascii="Times New Roman" w:hAnsi="Times New Roman" w:eastAsia="仿宋" w:cs="Times New Roman"/>
          <w:kern w:val="0"/>
          <w:sz w:val="32"/>
          <w:szCs w:val="32"/>
        </w:rPr>
      </w:pPr>
    </w:p>
    <w:p>
      <w:pPr>
        <w:spacing w:line="520" w:lineRule="exact"/>
        <w:ind w:firstLine="640" w:firstLineChars="200"/>
        <w:rPr>
          <w:rFonts w:ascii="Times New Roman" w:hAnsi="Times New Roman" w:eastAsia="仿宋" w:cs="Times New Roman"/>
          <w:sz w:val="32"/>
          <w:szCs w:val="32"/>
        </w:rPr>
      </w:pPr>
    </w:p>
    <w:p>
      <w:pPr>
        <w:spacing w:line="520" w:lineRule="exact"/>
        <w:rPr>
          <w:rFonts w:ascii="Times New Roman" w:hAnsi="Times New Roman" w:eastAsia="仿宋" w:cs="Times New Roman"/>
          <w:sz w:val="28"/>
          <w:szCs w:val="36"/>
        </w:rPr>
      </w:pPr>
      <w:bookmarkStart w:id="0" w:name="_GoBack"/>
      <w:bookmarkEnd w:id="0"/>
    </w:p>
    <w:p>
      <w:pPr>
        <w:spacing w:line="520" w:lineRule="exact"/>
        <w:ind w:right="640" w:firstLine="1280" w:firstLineChars="400"/>
        <w:jc w:val="center"/>
        <w:rPr>
          <w:rFonts w:ascii="Times New Roman" w:hAnsi="Times New Roman" w:eastAsia="仿宋" w:cs="Times New Roman"/>
          <w:sz w:val="32"/>
          <w:szCs w:val="32"/>
        </w:rPr>
      </w:pPr>
      <w:r>
        <w:rPr>
          <w:rFonts w:ascii="Times New Roman" w:hAnsi="Times New Roman" w:eastAsia="仿宋" w:cs="Times New Roman"/>
          <w:sz w:val="32"/>
          <w:szCs w:val="32"/>
        </w:rPr>
        <w:t xml:space="preserve">                      </w:t>
      </w:r>
      <w:r>
        <w:rPr>
          <w:rFonts w:ascii="Times New Roman" w:hAnsi="仿宋" w:eastAsia="仿宋" w:cs="Times New Roman"/>
          <w:sz w:val="32"/>
          <w:szCs w:val="32"/>
        </w:rPr>
        <w:t>德阳市律师协会</w:t>
      </w:r>
    </w:p>
    <w:p>
      <w:pPr>
        <w:spacing w:line="520" w:lineRule="exact"/>
        <w:ind w:right="640" w:firstLine="5120" w:firstLineChars="1600"/>
        <w:rPr>
          <w:rFonts w:ascii="Times New Roman" w:hAnsi="Times New Roman" w:eastAsia="仿宋" w:cs="Times New Roman"/>
          <w:sz w:val="32"/>
          <w:szCs w:val="32"/>
        </w:rPr>
      </w:pPr>
      <w:r>
        <w:rPr>
          <w:rFonts w:ascii="Times New Roman" w:hAnsi="Times New Roman" w:eastAsia="仿宋" w:cs="Times New Roman"/>
          <w:sz w:val="32"/>
          <w:szCs w:val="32"/>
        </w:rPr>
        <w:t>2024</w:t>
      </w:r>
      <w:r>
        <w:rPr>
          <w:rFonts w:ascii="Times New Roman" w:hAnsi="仿宋" w:eastAsia="仿宋" w:cs="Times New Roman"/>
          <w:sz w:val="32"/>
          <w:szCs w:val="32"/>
        </w:rPr>
        <w:t>年</w:t>
      </w:r>
      <w:r>
        <w:rPr>
          <w:rFonts w:ascii="Times New Roman" w:hAnsi="Times New Roman" w:eastAsia="仿宋" w:cs="Times New Roman"/>
          <w:sz w:val="32"/>
          <w:szCs w:val="32"/>
        </w:rPr>
        <w:t>4</w:t>
      </w:r>
      <w:r>
        <w:rPr>
          <w:rFonts w:ascii="Times New Roman" w:hAnsi="仿宋" w:eastAsia="仿宋" w:cs="Times New Roman"/>
          <w:sz w:val="32"/>
          <w:szCs w:val="32"/>
        </w:rPr>
        <w:t>月</w:t>
      </w:r>
      <w:r>
        <w:rPr>
          <w:rFonts w:ascii="Times New Roman" w:hAnsi="Times New Roman" w:eastAsia="仿宋" w:cs="Times New Roman"/>
          <w:sz w:val="32"/>
          <w:szCs w:val="32"/>
        </w:rPr>
        <w:t>30</w:t>
      </w:r>
      <w:r>
        <w:rPr>
          <w:rFonts w:ascii="Times New Roman" w:hAnsi="仿宋" w:eastAsia="仿宋" w:cs="Times New Roman"/>
          <w:sz w:val="32"/>
          <w:szCs w:val="32"/>
        </w:rPr>
        <w:t>日</w:t>
      </w:r>
    </w:p>
    <w:p>
      <w:pPr>
        <w:spacing w:line="520" w:lineRule="exact"/>
        <w:ind w:right="640" w:firstLine="5120" w:firstLineChars="1600"/>
        <w:rPr>
          <w:rFonts w:ascii="Times New Roman" w:hAnsi="Times New Roman" w:eastAsia="仿宋" w:cs="Times New Roman"/>
          <w:sz w:val="32"/>
          <w:szCs w:val="32"/>
        </w:rPr>
      </w:pPr>
    </w:p>
    <w:p>
      <w:pPr>
        <w:spacing w:line="520" w:lineRule="exact"/>
        <w:ind w:right="640"/>
        <w:rPr>
          <w:rFonts w:ascii="Times New Roman" w:hAnsi="Times New Roman" w:eastAsia="仿宋" w:cs="Times New Roman"/>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2000000000000000000"/>
    <w:charset w:val="86"/>
    <w:family w:val="auto"/>
    <w:pitch w:val="default"/>
    <w:sig w:usb0="00000000" w:usb1="00000000" w:usb2="00000012" w:usb3="00000000" w:csb0="00040001"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auto"/>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TliODJkYjViYmM2MGIzNWM4ZWY4MzQzNDUyYjZhYTEifQ=="/>
  </w:docVars>
  <w:rsids>
    <w:rsidRoot w:val="F9AC08AE"/>
    <w:rsid w:val="00060B2C"/>
    <w:rsid w:val="00086D6F"/>
    <w:rsid w:val="000A21CF"/>
    <w:rsid w:val="000A5223"/>
    <w:rsid w:val="00150461"/>
    <w:rsid w:val="00163348"/>
    <w:rsid w:val="001702D6"/>
    <w:rsid w:val="00176683"/>
    <w:rsid w:val="001B2CA9"/>
    <w:rsid w:val="002644D8"/>
    <w:rsid w:val="0026763C"/>
    <w:rsid w:val="00287052"/>
    <w:rsid w:val="00287CA0"/>
    <w:rsid w:val="002A714E"/>
    <w:rsid w:val="002A728B"/>
    <w:rsid w:val="002B64F3"/>
    <w:rsid w:val="002B66A4"/>
    <w:rsid w:val="002C31AF"/>
    <w:rsid w:val="002E0982"/>
    <w:rsid w:val="002F49BF"/>
    <w:rsid w:val="002F6D8F"/>
    <w:rsid w:val="003517FF"/>
    <w:rsid w:val="003976C5"/>
    <w:rsid w:val="003B4A86"/>
    <w:rsid w:val="00404C3D"/>
    <w:rsid w:val="004128C2"/>
    <w:rsid w:val="00416853"/>
    <w:rsid w:val="004C268B"/>
    <w:rsid w:val="004D1774"/>
    <w:rsid w:val="004D70C4"/>
    <w:rsid w:val="005245C8"/>
    <w:rsid w:val="00557E26"/>
    <w:rsid w:val="00567584"/>
    <w:rsid w:val="005E5981"/>
    <w:rsid w:val="00677DBB"/>
    <w:rsid w:val="006C311F"/>
    <w:rsid w:val="006C6CD7"/>
    <w:rsid w:val="006D6BB3"/>
    <w:rsid w:val="00751D1A"/>
    <w:rsid w:val="007752D3"/>
    <w:rsid w:val="007B2EEE"/>
    <w:rsid w:val="007D09B9"/>
    <w:rsid w:val="008542A3"/>
    <w:rsid w:val="00892619"/>
    <w:rsid w:val="008C65AC"/>
    <w:rsid w:val="00912D78"/>
    <w:rsid w:val="00915DD7"/>
    <w:rsid w:val="00943F3C"/>
    <w:rsid w:val="009928C2"/>
    <w:rsid w:val="009B0D09"/>
    <w:rsid w:val="009B2BF1"/>
    <w:rsid w:val="009C08AA"/>
    <w:rsid w:val="00A40DB8"/>
    <w:rsid w:val="00A5775E"/>
    <w:rsid w:val="00A75AA1"/>
    <w:rsid w:val="00B718AA"/>
    <w:rsid w:val="00BB26EC"/>
    <w:rsid w:val="00BE66AD"/>
    <w:rsid w:val="00BF6BC4"/>
    <w:rsid w:val="00C31312"/>
    <w:rsid w:val="00C42A1D"/>
    <w:rsid w:val="00CB26F6"/>
    <w:rsid w:val="00CE1660"/>
    <w:rsid w:val="00D0276C"/>
    <w:rsid w:val="00D23FC9"/>
    <w:rsid w:val="00D246FF"/>
    <w:rsid w:val="00D40349"/>
    <w:rsid w:val="00D94AA5"/>
    <w:rsid w:val="00DC11B8"/>
    <w:rsid w:val="00E1508F"/>
    <w:rsid w:val="00E53727"/>
    <w:rsid w:val="00E64635"/>
    <w:rsid w:val="00E7708B"/>
    <w:rsid w:val="00EA5D3A"/>
    <w:rsid w:val="00ED7421"/>
    <w:rsid w:val="00EF32BA"/>
    <w:rsid w:val="00F618B6"/>
    <w:rsid w:val="00F73074"/>
    <w:rsid w:val="00FB0721"/>
    <w:rsid w:val="00FE2E7F"/>
    <w:rsid w:val="396664A7"/>
    <w:rsid w:val="505F5FB4"/>
    <w:rsid w:val="53992205"/>
    <w:rsid w:val="5CBF615D"/>
    <w:rsid w:val="5E7CB07C"/>
    <w:rsid w:val="6DEFEAF1"/>
    <w:rsid w:val="9E7F39A5"/>
    <w:rsid w:val="F9AC08A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3"/>
    <w:uiPriority w:val="0"/>
    <w:pPr>
      <w:ind w:left="100" w:leftChars="2500"/>
    </w:pPr>
  </w:style>
  <w:style w:type="paragraph" w:styleId="3">
    <w:name w:val="Balloon Text"/>
    <w:basedOn w:val="1"/>
    <w:link w:val="12"/>
    <w:uiPriority w:val="0"/>
    <w:rPr>
      <w:sz w:val="18"/>
      <w:szCs w:val="18"/>
    </w:rPr>
  </w:style>
  <w:style w:type="paragraph" w:styleId="4">
    <w:name w:val="footer"/>
    <w:basedOn w:val="1"/>
    <w:link w:val="11"/>
    <w:uiPriority w:val="0"/>
    <w:pPr>
      <w:tabs>
        <w:tab w:val="center" w:pos="4153"/>
        <w:tab w:val="right" w:pos="8306"/>
      </w:tabs>
      <w:snapToGrid w:val="0"/>
      <w:jc w:val="left"/>
    </w:pPr>
    <w:rPr>
      <w:sz w:val="18"/>
      <w:szCs w:val="18"/>
    </w:rPr>
  </w:style>
  <w:style w:type="paragraph" w:styleId="5">
    <w:name w:val="header"/>
    <w:basedOn w:val="1"/>
    <w:link w:val="10"/>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uiPriority w:val="99"/>
    <w:pPr>
      <w:widowControl/>
      <w:spacing w:before="100" w:beforeAutospacing="1" w:after="100" w:afterAutospacing="1"/>
      <w:jc w:val="left"/>
    </w:pPr>
    <w:rPr>
      <w:rFonts w:ascii="宋体" w:hAnsi="宋体" w:eastAsia="宋体" w:cs="宋体"/>
      <w:kern w:val="0"/>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0">
    <w:name w:val="页眉 Char"/>
    <w:basedOn w:val="9"/>
    <w:link w:val="5"/>
    <w:uiPriority w:val="0"/>
    <w:rPr>
      <w:kern w:val="2"/>
      <w:sz w:val="18"/>
      <w:szCs w:val="18"/>
    </w:rPr>
  </w:style>
  <w:style w:type="character" w:customStyle="1" w:styleId="11">
    <w:name w:val="页脚 Char"/>
    <w:basedOn w:val="9"/>
    <w:link w:val="4"/>
    <w:uiPriority w:val="0"/>
    <w:rPr>
      <w:kern w:val="2"/>
      <w:sz w:val="18"/>
      <w:szCs w:val="18"/>
    </w:rPr>
  </w:style>
  <w:style w:type="character" w:customStyle="1" w:styleId="12">
    <w:name w:val="批注框文本 Char"/>
    <w:basedOn w:val="9"/>
    <w:link w:val="3"/>
    <w:uiPriority w:val="0"/>
    <w:rPr>
      <w:kern w:val="2"/>
      <w:sz w:val="18"/>
      <w:szCs w:val="18"/>
    </w:rPr>
  </w:style>
  <w:style w:type="character" w:customStyle="1" w:styleId="13">
    <w:name w:val="日期 Char"/>
    <w:basedOn w:val="9"/>
    <w:link w:val="2"/>
    <w:uiPriority w:val="0"/>
    <w:rPr>
      <w:kern w:val="2"/>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8</Pages>
  <Words>546</Words>
  <Characters>3116</Characters>
  <Lines>25</Lines>
  <Paragraphs>7</Paragraphs>
  <TotalTime>481</TotalTime>
  <ScaleCrop>false</ScaleCrop>
  <LinksUpToDate>false</LinksUpToDate>
  <CharactersWithSpaces>3655</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2022-12-23T22:44:00Z</dcterms:created>
  <dc:creator>小木易</dc:creator>
  <cp:lastModifiedBy>Administrator</cp:lastModifiedBy>
  <dcterms:modified xsi:type="dcterms:W3CDTF">2024-09-03T07:56:24Z</dcterms:modified>
  <cp:revision>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DB00DEFC030A1A827D16DB63BAEE0F61</vt:lpwstr>
  </property>
</Properties>
</file>